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7F5E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1450648" w14:textId="77777777" w:rsidTr="005F7F7E">
        <w:tc>
          <w:tcPr>
            <w:tcW w:w="2438" w:type="dxa"/>
            <w:shd w:val="clear" w:color="auto" w:fill="auto"/>
          </w:tcPr>
          <w:p w14:paraId="581097A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F9780A6" w14:textId="77777777" w:rsidR="000A47AE" w:rsidRDefault="00632588" w:rsidP="000A47AE">
            <w:pPr>
              <w:rPr>
                <w:rStyle w:val="Firstpagetablebold"/>
              </w:rPr>
            </w:pPr>
            <w:r>
              <w:rPr>
                <w:rStyle w:val="Firstpagetablebold"/>
              </w:rPr>
              <w:t>Cabinet</w:t>
            </w:r>
          </w:p>
          <w:p w14:paraId="422F07A4" w14:textId="77777777" w:rsidR="00F445B1" w:rsidRPr="00F95BC9" w:rsidRDefault="00F445B1" w:rsidP="000A47AE">
            <w:pPr>
              <w:rPr>
                <w:rStyle w:val="Firstpagetablebold"/>
              </w:rPr>
            </w:pPr>
          </w:p>
        </w:tc>
      </w:tr>
      <w:tr w:rsidR="00CE544A" w:rsidRPr="00975B07" w14:paraId="1EB78E10" w14:textId="77777777" w:rsidTr="005F7F7E">
        <w:tc>
          <w:tcPr>
            <w:tcW w:w="2438" w:type="dxa"/>
            <w:shd w:val="clear" w:color="auto" w:fill="auto"/>
          </w:tcPr>
          <w:p w14:paraId="700EBA9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01A1DAA" w14:textId="18B65FBD" w:rsidR="000A47AE" w:rsidRPr="004363E8" w:rsidRDefault="007B5D06" w:rsidP="000A47AE">
            <w:pPr>
              <w:rPr>
                <w:rStyle w:val="Firstpagetablebold"/>
                <w:color w:val="000000" w:themeColor="text1"/>
              </w:rPr>
            </w:pPr>
            <w:r>
              <w:rPr>
                <w:rStyle w:val="Firstpagetablebold"/>
                <w:color w:val="000000" w:themeColor="text1"/>
              </w:rPr>
              <w:t>0</w:t>
            </w:r>
            <w:bookmarkStart w:id="0" w:name="_GoBack"/>
            <w:bookmarkEnd w:id="0"/>
            <w:r w:rsidR="004363E8" w:rsidRPr="004363E8">
              <w:rPr>
                <w:rStyle w:val="Firstpagetablebold"/>
                <w:color w:val="000000" w:themeColor="text1"/>
              </w:rPr>
              <w:t>9</w:t>
            </w:r>
            <w:r w:rsidR="00177372" w:rsidRPr="004363E8">
              <w:rPr>
                <w:rStyle w:val="Firstpagetablebold"/>
                <w:color w:val="000000" w:themeColor="text1"/>
              </w:rPr>
              <w:t xml:space="preserve"> </w:t>
            </w:r>
            <w:r w:rsidR="004363E8" w:rsidRPr="004363E8">
              <w:rPr>
                <w:rStyle w:val="Firstpagetablebold"/>
                <w:color w:val="000000" w:themeColor="text1"/>
              </w:rPr>
              <w:t>Dec</w:t>
            </w:r>
            <w:r w:rsidR="000053EC">
              <w:rPr>
                <w:rStyle w:val="Firstpagetablebold"/>
                <w:color w:val="000000" w:themeColor="text1"/>
              </w:rPr>
              <w:t>ember</w:t>
            </w:r>
            <w:r w:rsidR="00534A13" w:rsidRPr="004363E8">
              <w:rPr>
                <w:rStyle w:val="Firstpagetablebold"/>
                <w:color w:val="000000" w:themeColor="text1"/>
              </w:rPr>
              <w:t xml:space="preserve"> 2020</w:t>
            </w:r>
            <w:r w:rsidR="000A47AE" w:rsidRPr="004363E8">
              <w:rPr>
                <w:rStyle w:val="Firstpagetablebold"/>
                <w:color w:val="000000" w:themeColor="text1"/>
              </w:rPr>
              <w:t xml:space="preserve">  </w:t>
            </w:r>
          </w:p>
          <w:p w14:paraId="04F0A35B" w14:textId="77777777" w:rsidR="00F445B1" w:rsidRPr="001356F1" w:rsidRDefault="00F445B1" w:rsidP="000A47AE">
            <w:pPr>
              <w:rPr>
                <w:b/>
              </w:rPr>
            </w:pPr>
          </w:p>
        </w:tc>
      </w:tr>
      <w:tr w:rsidR="00CE544A" w:rsidRPr="00975B07" w14:paraId="43E0665E" w14:textId="77777777" w:rsidTr="005F7F7E">
        <w:tc>
          <w:tcPr>
            <w:tcW w:w="2438" w:type="dxa"/>
            <w:shd w:val="clear" w:color="auto" w:fill="auto"/>
          </w:tcPr>
          <w:p w14:paraId="02D1BFE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3BC14DD" w14:textId="77777777" w:rsidR="00F445B1" w:rsidRDefault="00177372" w:rsidP="004A6D2F">
            <w:pPr>
              <w:rPr>
                <w:rStyle w:val="Firstpagetablebold"/>
              </w:rPr>
            </w:pPr>
            <w:r>
              <w:rPr>
                <w:rStyle w:val="Firstpagetablebold"/>
              </w:rPr>
              <w:t>Head of Financial Services</w:t>
            </w:r>
          </w:p>
          <w:p w14:paraId="217941DC" w14:textId="77777777" w:rsidR="00177372" w:rsidRPr="001356F1" w:rsidRDefault="00177372" w:rsidP="004A6D2F">
            <w:pPr>
              <w:rPr>
                <w:rStyle w:val="Firstpagetablebold"/>
              </w:rPr>
            </w:pPr>
            <w:r>
              <w:rPr>
                <w:rStyle w:val="Firstpagetablebold"/>
              </w:rPr>
              <w:t>Head of Business Improvement</w:t>
            </w:r>
          </w:p>
        </w:tc>
      </w:tr>
      <w:tr w:rsidR="00CE544A" w:rsidRPr="00975B07" w14:paraId="7D6DA6B2" w14:textId="77777777" w:rsidTr="005F7F7E">
        <w:tc>
          <w:tcPr>
            <w:tcW w:w="2438" w:type="dxa"/>
            <w:shd w:val="clear" w:color="auto" w:fill="auto"/>
          </w:tcPr>
          <w:p w14:paraId="12C40F0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680273B" w14:textId="77777777" w:rsidR="00F445B1" w:rsidRPr="001356F1" w:rsidRDefault="00177372" w:rsidP="00871859">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2E58B8">
              <w:rPr>
                <w:rStyle w:val="Firstpagetablebold"/>
              </w:rPr>
              <w:t>2</w:t>
            </w:r>
            <w:r w:rsidR="00C00652">
              <w:rPr>
                <w:rStyle w:val="Firstpagetablebold"/>
              </w:rPr>
              <w:t xml:space="preserve"> 20</w:t>
            </w:r>
            <w:r w:rsidR="00632588">
              <w:rPr>
                <w:rStyle w:val="Firstpagetablebold"/>
              </w:rPr>
              <w:t>20</w:t>
            </w:r>
            <w:r w:rsidR="00871859">
              <w:rPr>
                <w:rStyle w:val="Firstpagetablebold"/>
              </w:rPr>
              <w:t>/21</w:t>
            </w:r>
          </w:p>
        </w:tc>
      </w:tr>
    </w:tbl>
    <w:p w14:paraId="72A0F79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4"/>
        <w:gridCol w:w="1941"/>
        <w:gridCol w:w="5845"/>
      </w:tblGrid>
      <w:tr w:rsidR="00D5547E" w14:paraId="3CFA17EF" w14:textId="77777777" w:rsidTr="003065EF">
        <w:tc>
          <w:tcPr>
            <w:tcW w:w="9170" w:type="dxa"/>
            <w:gridSpan w:val="3"/>
            <w:tcBorders>
              <w:bottom w:val="single" w:sz="8" w:space="0" w:color="000000"/>
            </w:tcBorders>
            <w:hideMark/>
          </w:tcPr>
          <w:p w14:paraId="24466E1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DDCE438" w14:textId="77777777" w:rsidTr="003065EF">
        <w:tc>
          <w:tcPr>
            <w:tcW w:w="3325" w:type="dxa"/>
            <w:gridSpan w:val="2"/>
            <w:tcBorders>
              <w:top w:val="single" w:sz="8" w:space="0" w:color="000000"/>
              <w:left w:val="single" w:sz="8" w:space="0" w:color="000000"/>
              <w:bottom w:val="nil"/>
              <w:right w:val="nil"/>
            </w:tcBorders>
            <w:hideMark/>
          </w:tcPr>
          <w:p w14:paraId="617512C6" w14:textId="77777777" w:rsidR="00D5547E" w:rsidRDefault="00D5547E">
            <w:pPr>
              <w:rPr>
                <w:rStyle w:val="Firstpagetablebold"/>
              </w:rPr>
            </w:pPr>
            <w:r>
              <w:rPr>
                <w:rStyle w:val="Firstpagetablebold"/>
              </w:rPr>
              <w:t>Purpose of report:</w:t>
            </w:r>
          </w:p>
        </w:tc>
        <w:tc>
          <w:tcPr>
            <w:tcW w:w="5845" w:type="dxa"/>
            <w:tcBorders>
              <w:top w:val="single" w:sz="8" w:space="0" w:color="000000"/>
              <w:left w:val="nil"/>
              <w:bottom w:val="nil"/>
              <w:right w:val="single" w:sz="8" w:space="0" w:color="000000"/>
            </w:tcBorders>
            <w:hideMark/>
          </w:tcPr>
          <w:p w14:paraId="635E25CC" w14:textId="77777777" w:rsidR="00D5547E" w:rsidRPr="001356F1" w:rsidRDefault="00A91B9B" w:rsidP="00871859">
            <w:r>
              <w:t xml:space="preserve">To update </w:t>
            </w:r>
            <w:r w:rsidR="00BB420C">
              <w:t xml:space="preserve">the </w:t>
            </w:r>
            <w:r w:rsidR="00CF795B">
              <w:t>Cabinet</w:t>
            </w:r>
            <w:r>
              <w:t xml:space="preserve"> </w:t>
            </w:r>
            <w:r w:rsidRPr="005B020D">
              <w:rPr>
                <w:color w:val="auto"/>
              </w:rPr>
              <w:t xml:space="preserve">on Finance, Risk and </w:t>
            </w:r>
            <w:r w:rsidR="00CF795B" w:rsidRPr="005B020D">
              <w:rPr>
                <w:color w:val="auto"/>
              </w:rPr>
              <w:t xml:space="preserve">Corporate </w:t>
            </w:r>
            <w:r w:rsidRPr="005B020D">
              <w:rPr>
                <w:color w:val="auto"/>
              </w:rPr>
              <w:t>Performance</w:t>
            </w:r>
            <w:r w:rsidR="00CF795B" w:rsidRPr="005B020D">
              <w:rPr>
                <w:color w:val="auto"/>
              </w:rPr>
              <w:t xml:space="preserve"> matters</w:t>
            </w:r>
            <w:r w:rsidRPr="005B020D">
              <w:rPr>
                <w:color w:val="auto"/>
              </w:rPr>
              <w:t xml:space="preserve"> as </w:t>
            </w:r>
            <w:r>
              <w:t xml:space="preserve">at </w:t>
            </w:r>
            <w:r w:rsidR="00534A13">
              <w:t>3</w:t>
            </w:r>
            <w:r w:rsidR="00871859">
              <w:t>0</w:t>
            </w:r>
            <w:r w:rsidR="00871859" w:rsidRPr="00871859">
              <w:rPr>
                <w:vertAlign w:val="superscript"/>
              </w:rPr>
              <w:t>th</w:t>
            </w:r>
            <w:r w:rsidR="002E58B8">
              <w:t xml:space="preserve"> September</w:t>
            </w:r>
            <w:r w:rsidR="00871859">
              <w:t xml:space="preserve"> 2020</w:t>
            </w:r>
            <w:r w:rsidR="00964187">
              <w:t>.</w:t>
            </w:r>
          </w:p>
        </w:tc>
      </w:tr>
      <w:tr w:rsidR="00D5547E" w14:paraId="084EC805" w14:textId="77777777" w:rsidTr="003065EF">
        <w:tc>
          <w:tcPr>
            <w:tcW w:w="3325" w:type="dxa"/>
            <w:gridSpan w:val="2"/>
            <w:tcBorders>
              <w:top w:val="nil"/>
              <w:left w:val="single" w:sz="8" w:space="0" w:color="000000"/>
              <w:bottom w:val="nil"/>
              <w:right w:val="nil"/>
            </w:tcBorders>
            <w:hideMark/>
          </w:tcPr>
          <w:p w14:paraId="0E2BFB68" w14:textId="77777777" w:rsidR="00D5547E" w:rsidRDefault="00D5547E">
            <w:pPr>
              <w:rPr>
                <w:rStyle w:val="Firstpagetablebold"/>
              </w:rPr>
            </w:pPr>
            <w:r>
              <w:rPr>
                <w:rStyle w:val="Firstpagetablebold"/>
              </w:rPr>
              <w:t>Key decision:</w:t>
            </w:r>
          </w:p>
        </w:tc>
        <w:tc>
          <w:tcPr>
            <w:tcW w:w="5845" w:type="dxa"/>
            <w:tcBorders>
              <w:top w:val="nil"/>
              <w:left w:val="nil"/>
              <w:bottom w:val="nil"/>
              <w:right w:val="single" w:sz="8" w:space="0" w:color="000000"/>
            </w:tcBorders>
            <w:hideMark/>
          </w:tcPr>
          <w:p w14:paraId="48588E10" w14:textId="77777777" w:rsidR="00D5547E" w:rsidRPr="001356F1" w:rsidRDefault="00177372" w:rsidP="005F7F7E">
            <w:r>
              <w:t>No</w:t>
            </w:r>
          </w:p>
        </w:tc>
      </w:tr>
      <w:tr w:rsidR="00D5547E" w14:paraId="2B05DAF6" w14:textId="77777777" w:rsidTr="003065EF">
        <w:tc>
          <w:tcPr>
            <w:tcW w:w="3325" w:type="dxa"/>
            <w:gridSpan w:val="2"/>
            <w:tcBorders>
              <w:top w:val="nil"/>
              <w:left w:val="single" w:sz="8" w:space="0" w:color="000000"/>
              <w:bottom w:val="nil"/>
              <w:right w:val="nil"/>
            </w:tcBorders>
            <w:hideMark/>
          </w:tcPr>
          <w:p w14:paraId="515C10E0" w14:textId="77777777" w:rsidR="00D5547E" w:rsidRDefault="00D5547E">
            <w:pPr>
              <w:rPr>
                <w:rStyle w:val="Firstpagetablebold"/>
              </w:rPr>
            </w:pPr>
            <w:r>
              <w:rPr>
                <w:rStyle w:val="Firstpagetablebold"/>
              </w:rPr>
              <w:t>Executive Board Member:</w:t>
            </w:r>
          </w:p>
        </w:tc>
        <w:tc>
          <w:tcPr>
            <w:tcW w:w="5845" w:type="dxa"/>
            <w:tcBorders>
              <w:top w:val="nil"/>
              <w:left w:val="nil"/>
              <w:bottom w:val="nil"/>
              <w:right w:val="single" w:sz="8" w:space="0" w:color="000000"/>
            </w:tcBorders>
            <w:hideMark/>
          </w:tcPr>
          <w:p w14:paraId="54004FE5" w14:textId="77777777" w:rsidR="00D5547E" w:rsidRPr="001356F1" w:rsidRDefault="00D5547E" w:rsidP="00FB70AC">
            <w:r w:rsidRPr="001356F1">
              <w:t xml:space="preserve">Councillor </w:t>
            </w:r>
            <w:r w:rsidR="00FB70AC">
              <w:t>Ed Turner</w:t>
            </w:r>
          </w:p>
        </w:tc>
      </w:tr>
      <w:tr w:rsidR="0080749A" w14:paraId="1C1FF972" w14:textId="77777777" w:rsidTr="003065EF">
        <w:tc>
          <w:tcPr>
            <w:tcW w:w="3325" w:type="dxa"/>
            <w:gridSpan w:val="2"/>
            <w:tcBorders>
              <w:top w:val="nil"/>
              <w:left w:val="single" w:sz="8" w:space="0" w:color="000000"/>
              <w:bottom w:val="nil"/>
              <w:right w:val="nil"/>
            </w:tcBorders>
          </w:tcPr>
          <w:p w14:paraId="1AADCFE2" w14:textId="77777777" w:rsidR="0080749A" w:rsidRDefault="0080749A">
            <w:pPr>
              <w:rPr>
                <w:rStyle w:val="Firstpagetablebold"/>
              </w:rPr>
            </w:pPr>
            <w:r>
              <w:rPr>
                <w:rStyle w:val="Firstpagetablebold"/>
              </w:rPr>
              <w:t>Corporate Priority:</w:t>
            </w:r>
          </w:p>
        </w:tc>
        <w:tc>
          <w:tcPr>
            <w:tcW w:w="5845" w:type="dxa"/>
            <w:tcBorders>
              <w:top w:val="nil"/>
              <w:left w:val="nil"/>
              <w:bottom w:val="nil"/>
              <w:right w:val="single" w:sz="8" w:space="0" w:color="000000"/>
            </w:tcBorders>
          </w:tcPr>
          <w:p w14:paraId="190CD3A4" w14:textId="47BD6783" w:rsidR="0080749A" w:rsidRPr="001356F1" w:rsidRDefault="00F27E68" w:rsidP="005F7F7E">
            <w:r>
              <w:t>All</w:t>
            </w:r>
          </w:p>
        </w:tc>
      </w:tr>
      <w:tr w:rsidR="00D5547E" w14:paraId="27A170B2" w14:textId="77777777" w:rsidTr="003065EF">
        <w:tc>
          <w:tcPr>
            <w:tcW w:w="3325" w:type="dxa"/>
            <w:gridSpan w:val="2"/>
            <w:tcBorders>
              <w:top w:val="nil"/>
              <w:left w:val="single" w:sz="8" w:space="0" w:color="000000"/>
              <w:bottom w:val="nil"/>
              <w:right w:val="nil"/>
            </w:tcBorders>
            <w:hideMark/>
          </w:tcPr>
          <w:p w14:paraId="11B14D1A" w14:textId="77777777" w:rsidR="00D5547E" w:rsidRDefault="00D5547E">
            <w:pPr>
              <w:rPr>
                <w:rStyle w:val="Firstpagetablebold"/>
              </w:rPr>
            </w:pPr>
            <w:r>
              <w:rPr>
                <w:rStyle w:val="Firstpagetablebold"/>
              </w:rPr>
              <w:t>Policy Framework:</w:t>
            </w:r>
          </w:p>
        </w:tc>
        <w:tc>
          <w:tcPr>
            <w:tcW w:w="5845" w:type="dxa"/>
            <w:tcBorders>
              <w:top w:val="nil"/>
              <w:left w:val="nil"/>
              <w:bottom w:val="nil"/>
              <w:right w:val="single" w:sz="8" w:space="0" w:color="000000"/>
            </w:tcBorders>
            <w:hideMark/>
          </w:tcPr>
          <w:p w14:paraId="59E7AB3F" w14:textId="5623ACF4" w:rsidR="00D5547E" w:rsidRPr="001356F1" w:rsidRDefault="00F27E68" w:rsidP="005F7F7E">
            <w:r>
              <w:t>Council Strategy 2020-24</w:t>
            </w:r>
          </w:p>
        </w:tc>
      </w:tr>
      <w:tr w:rsidR="005F7F7E" w:rsidRPr="00975B07" w14:paraId="31F959BF" w14:textId="77777777" w:rsidTr="003065EF">
        <w:trPr>
          <w:trHeight w:val="413"/>
        </w:trPr>
        <w:tc>
          <w:tcPr>
            <w:tcW w:w="9170" w:type="dxa"/>
            <w:gridSpan w:val="3"/>
            <w:tcBorders>
              <w:bottom w:val="single" w:sz="8" w:space="0" w:color="000000"/>
            </w:tcBorders>
          </w:tcPr>
          <w:p w14:paraId="776D2A36" w14:textId="5FB51481" w:rsidR="005F7F7E" w:rsidRPr="00975B07" w:rsidRDefault="00F27E68" w:rsidP="00CF795B">
            <w:r>
              <w:rPr>
                <w:rStyle w:val="Firstpagetablebold"/>
              </w:rPr>
              <w:t>Recommendations</w:t>
            </w:r>
            <w:r w:rsidR="005F7F7E">
              <w:rPr>
                <w:rStyle w:val="Firstpagetablebold"/>
              </w:rPr>
              <w:t>:</w:t>
            </w:r>
            <w:r w:rsidR="007E64F0">
              <w:rPr>
                <w:rStyle w:val="Firstpagetablebold"/>
              </w:rPr>
              <w:t xml:space="preserve"> </w:t>
            </w:r>
            <w:r>
              <w:rPr>
                <w:rStyle w:val="Firstpagetablebold"/>
                <w:b w:val="0"/>
              </w:rPr>
              <w:t xml:space="preserve">That </w:t>
            </w:r>
            <w:r w:rsidR="005F7F7E" w:rsidRPr="00F27E68">
              <w:rPr>
                <w:rStyle w:val="Firstpagetablebold"/>
                <w:b w:val="0"/>
              </w:rPr>
              <w:t xml:space="preserve"> </w:t>
            </w:r>
            <w:r w:rsidR="00CF795B" w:rsidRPr="00F27E68">
              <w:rPr>
                <w:rStyle w:val="Firstpagetablebold"/>
                <w:b w:val="0"/>
              </w:rPr>
              <w:t>Cabinet</w:t>
            </w:r>
            <w:r w:rsidR="00A85B0E" w:rsidRPr="00F27E68">
              <w:rPr>
                <w:rStyle w:val="Firstpagetablebold"/>
                <w:b w:val="0"/>
              </w:rPr>
              <w:t xml:space="preserve"> resolves to</w:t>
            </w:r>
            <w:r w:rsidR="005F7F7E" w:rsidRPr="00F27E68">
              <w:rPr>
                <w:rStyle w:val="Firstpagetablebold"/>
                <w:b w:val="0"/>
              </w:rPr>
              <w:t>:</w:t>
            </w:r>
          </w:p>
        </w:tc>
      </w:tr>
      <w:tr w:rsidR="002E58B8" w:rsidRPr="002E58B8" w14:paraId="6569E58B" w14:textId="77777777" w:rsidTr="003065EF">
        <w:trPr>
          <w:trHeight w:val="714"/>
        </w:trPr>
        <w:tc>
          <w:tcPr>
            <w:tcW w:w="1384" w:type="dxa"/>
            <w:tcBorders>
              <w:top w:val="single" w:sz="8" w:space="0" w:color="000000"/>
              <w:left w:val="single" w:sz="8" w:space="0" w:color="000000"/>
              <w:bottom w:val="nil"/>
              <w:right w:val="nil"/>
            </w:tcBorders>
          </w:tcPr>
          <w:p w14:paraId="45F4BF3D" w14:textId="77777777" w:rsidR="00A85B0E" w:rsidRPr="00114F20" w:rsidRDefault="00A85B0E" w:rsidP="00DC1F43">
            <w:pPr>
              <w:numPr>
                <w:ilvl w:val="0"/>
                <w:numId w:val="11"/>
              </w:numPr>
              <w:spacing w:before="120" w:after="0"/>
              <w:ind w:left="318" w:hanging="318"/>
              <w:rPr>
                <w:color w:val="auto"/>
              </w:rPr>
            </w:pPr>
          </w:p>
          <w:p w14:paraId="5959729B" w14:textId="77777777" w:rsidR="002A52D8" w:rsidRPr="00114F20" w:rsidRDefault="002A52D8" w:rsidP="00632588">
            <w:pPr>
              <w:spacing w:before="120" w:after="0"/>
              <w:rPr>
                <w:color w:val="auto"/>
              </w:rPr>
            </w:pPr>
          </w:p>
          <w:p w14:paraId="578E9047" w14:textId="77777777" w:rsidR="00804865" w:rsidRPr="00114F20" w:rsidRDefault="00804865" w:rsidP="00632588">
            <w:pPr>
              <w:spacing w:before="120" w:after="0"/>
              <w:rPr>
                <w:color w:val="auto"/>
              </w:rPr>
            </w:pPr>
            <w:r w:rsidRPr="00114F20">
              <w:rPr>
                <w:color w:val="auto"/>
              </w:rPr>
              <w:t>2.</w:t>
            </w:r>
          </w:p>
          <w:p w14:paraId="1341EA2F" w14:textId="77777777" w:rsidR="00A12649" w:rsidRPr="00114F20" w:rsidRDefault="00A12649" w:rsidP="00CF795B">
            <w:pPr>
              <w:spacing w:before="120" w:after="0"/>
              <w:rPr>
                <w:color w:val="auto"/>
              </w:rPr>
            </w:pPr>
          </w:p>
        </w:tc>
        <w:tc>
          <w:tcPr>
            <w:tcW w:w="7786" w:type="dxa"/>
            <w:gridSpan w:val="2"/>
            <w:tcBorders>
              <w:top w:val="single" w:sz="8" w:space="0" w:color="000000"/>
              <w:left w:val="nil"/>
              <w:bottom w:val="nil"/>
              <w:right w:val="single" w:sz="8" w:space="0" w:color="000000"/>
            </w:tcBorders>
            <w:shd w:val="clear" w:color="auto" w:fill="auto"/>
          </w:tcPr>
          <w:p w14:paraId="62C1C040" w14:textId="0012B8BF" w:rsidR="00121043" w:rsidRPr="00114F20" w:rsidRDefault="00A85B0E" w:rsidP="00AD186F">
            <w:pPr>
              <w:spacing w:after="0"/>
              <w:rPr>
                <w:color w:val="auto"/>
              </w:rPr>
            </w:pPr>
            <w:r w:rsidRPr="00F27E68">
              <w:rPr>
                <w:rStyle w:val="Firstpagetablebold"/>
                <w:color w:val="auto"/>
              </w:rPr>
              <w:t>Note</w:t>
            </w:r>
            <w:r w:rsidRPr="00114F20">
              <w:rPr>
                <w:rStyle w:val="Firstpagetablebold"/>
                <w:b w:val="0"/>
                <w:color w:val="auto"/>
              </w:rPr>
              <w:t xml:space="preserve"> the </w:t>
            </w:r>
            <w:r w:rsidR="003F50F9" w:rsidRPr="00114F20">
              <w:rPr>
                <w:rStyle w:val="Firstpagetablebold"/>
                <w:b w:val="0"/>
                <w:color w:val="auto"/>
              </w:rPr>
              <w:t>projected</w:t>
            </w:r>
            <w:r w:rsidRPr="00114F20">
              <w:rPr>
                <w:rStyle w:val="Firstpagetablebold"/>
                <w:b w:val="0"/>
                <w:color w:val="auto"/>
              </w:rPr>
              <w:t xml:space="preserve"> </w:t>
            </w:r>
            <w:r w:rsidR="003F50F9" w:rsidRPr="00114F20">
              <w:rPr>
                <w:rStyle w:val="Firstpagetablebold"/>
                <w:b w:val="0"/>
                <w:color w:val="auto"/>
              </w:rPr>
              <w:t xml:space="preserve">financial </w:t>
            </w:r>
            <w:r w:rsidRPr="00114F20">
              <w:rPr>
                <w:rStyle w:val="Firstpagetablebold"/>
                <w:b w:val="0"/>
                <w:color w:val="auto"/>
              </w:rPr>
              <w:t>outturn</w:t>
            </w:r>
            <w:r w:rsidR="00CF795B" w:rsidRPr="00114F20">
              <w:rPr>
                <w:rStyle w:val="Firstpagetablebold"/>
                <w:b w:val="0"/>
                <w:color w:val="auto"/>
              </w:rPr>
              <w:t xml:space="preserve"> as well as</w:t>
            </w:r>
            <w:r w:rsidR="003F50F9" w:rsidRPr="00114F20">
              <w:rPr>
                <w:rStyle w:val="Firstpagetablebold"/>
                <w:b w:val="0"/>
                <w:color w:val="auto"/>
              </w:rPr>
              <w:t xml:space="preserve"> the current position </w:t>
            </w:r>
            <w:r w:rsidR="00A91B9B" w:rsidRPr="00114F20">
              <w:rPr>
                <w:rStyle w:val="Firstpagetablebold"/>
                <w:b w:val="0"/>
                <w:color w:val="auto"/>
              </w:rPr>
              <w:t>on risk and performance as at 3</w:t>
            </w:r>
            <w:r w:rsidR="00871859" w:rsidRPr="00114F20">
              <w:rPr>
                <w:rStyle w:val="Firstpagetablebold"/>
                <w:b w:val="0"/>
                <w:color w:val="auto"/>
              </w:rPr>
              <w:t>0</w:t>
            </w:r>
            <w:r w:rsidR="00A91B9B" w:rsidRPr="00114F20">
              <w:rPr>
                <w:rStyle w:val="Firstpagetablebold"/>
                <w:b w:val="0"/>
                <w:color w:val="auto"/>
              </w:rPr>
              <w:t xml:space="preserve"> </w:t>
            </w:r>
            <w:r w:rsidR="002E58B8" w:rsidRPr="00114F20">
              <w:rPr>
                <w:rStyle w:val="Firstpagetablebold"/>
                <w:b w:val="0"/>
                <w:color w:val="auto"/>
              </w:rPr>
              <w:t>September</w:t>
            </w:r>
            <w:r w:rsidR="00871859" w:rsidRPr="00114F20">
              <w:rPr>
                <w:rStyle w:val="Firstpagetablebold"/>
                <w:b w:val="0"/>
                <w:color w:val="auto"/>
              </w:rPr>
              <w:t xml:space="preserve"> 2020</w:t>
            </w:r>
            <w:r w:rsidR="00F27E68">
              <w:rPr>
                <w:color w:val="auto"/>
              </w:rPr>
              <w:t xml:space="preserve">; and </w:t>
            </w:r>
          </w:p>
          <w:p w14:paraId="3DF9336A" w14:textId="77777777" w:rsidR="00CF795B" w:rsidRPr="00114F20" w:rsidRDefault="00CF795B" w:rsidP="00A0396D">
            <w:pPr>
              <w:spacing w:after="0"/>
              <w:rPr>
                <w:color w:val="auto"/>
              </w:rPr>
            </w:pPr>
          </w:p>
          <w:p w14:paraId="1C362D05" w14:textId="77777777" w:rsidR="003065EF" w:rsidRPr="00114F20" w:rsidRDefault="00300E59" w:rsidP="004363E8">
            <w:pPr>
              <w:spacing w:after="0"/>
              <w:rPr>
                <w:color w:val="auto"/>
              </w:rPr>
            </w:pPr>
            <w:r w:rsidRPr="00F27E68">
              <w:rPr>
                <w:b/>
                <w:color w:val="auto"/>
              </w:rPr>
              <w:t>Note</w:t>
            </w:r>
            <w:r w:rsidRPr="00114F20">
              <w:rPr>
                <w:color w:val="auto"/>
              </w:rPr>
              <w:t xml:space="preserve"> the un-pausing </w:t>
            </w:r>
            <w:r w:rsidR="00114F20" w:rsidRPr="00114F20">
              <w:rPr>
                <w:color w:val="auto"/>
              </w:rPr>
              <w:t>of the Commercial Property capital project of £42million to allow for the purchase of properties for regeneration.</w:t>
            </w:r>
          </w:p>
        </w:tc>
      </w:tr>
    </w:tbl>
    <w:p w14:paraId="2A97DF56" w14:textId="77777777" w:rsidR="00CE544A" w:rsidRPr="002E58B8" w:rsidRDefault="00CE544A" w:rsidP="004A6D2F">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2E58B8" w:rsidRPr="002E58B8" w14:paraId="361F6566" w14:textId="7777777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1F5FB7EB" w14:textId="77777777" w:rsidR="00966D42" w:rsidRPr="002E58B8" w:rsidRDefault="00966D42" w:rsidP="00263EA3">
            <w:pPr>
              <w:jc w:val="center"/>
              <w:rPr>
                <w:color w:val="auto"/>
              </w:rPr>
            </w:pPr>
            <w:r w:rsidRPr="002E58B8">
              <w:rPr>
                <w:rStyle w:val="Firstpagetablebold"/>
                <w:color w:val="auto"/>
              </w:rPr>
              <w:t>Appendices</w:t>
            </w:r>
          </w:p>
        </w:tc>
      </w:tr>
      <w:tr w:rsidR="002E58B8" w:rsidRPr="002E58B8" w14:paraId="766CDFB2" w14:textId="77777777" w:rsidTr="00A85B0E">
        <w:tc>
          <w:tcPr>
            <w:tcW w:w="2438" w:type="dxa"/>
            <w:tcBorders>
              <w:top w:val="nil"/>
              <w:left w:val="single" w:sz="8" w:space="0" w:color="000000"/>
              <w:bottom w:val="nil"/>
              <w:right w:val="nil"/>
            </w:tcBorders>
            <w:shd w:val="clear" w:color="auto" w:fill="auto"/>
          </w:tcPr>
          <w:p w14:paraId="6D81C847" w14:textId="77777777" w:rsidR="003E75E2" w:rsidRPr="002E58B8" w:rsidRDefault="003E75E2" w:rsidP="004A6D2F">
            <w:pPr>
              <w:rPr>
                <w:color w:val="auto"/>
              </w:rPr>
            </w:pPr>
          </w:p>
        </w:tc>
        <w:tc>
          <w:tcPr>
            <w:tcW w:w="6918" w:type="dxa"/>
            <w:tcBorders>
              <w:top w:val="nil"/>
              <w:left w:val="nil"/>
              <w:bottom w:val="nil"/>
              <w:right w:val="single" w:sz="8" w:space="0" w:color="000000"/>
            </w:tcBorders>
          </w:tcPr>
          <w:p w14:paraId="26ED3DE9" w14:textId="77777777" w:rsidR="003E75E2" w:rsidRPr="002E58B8" w:rsidRDefault="003E75E2" w:rsidP="004A6D2F">
            <w:pPr>
              <w:rPr>
                <w:color w:val="auto"/>
              </w:rPr>
            </w:pPr>
          </w:p>
        </w:tc>
      </w:tr>
      <w:tr w:rsidR="002E58B8" w:rsidRPr="002E58B8" w14:paraId="726923F6" w14:textId="77777777" w:rsidTr="00A85B0E">
        <w:tc>
          <w:tcPr>
            <w:tcW w:w="2438" w:type="dxa"/>
            <w:tcBorders>
              <w:top w:val="nil"/>
              <w:left w:val="single" w:sz="8" w:space="0" w:color="000000"/>
              <w:bottom w:val="single" w:sz="8" w:space="0" w:color="000000"/>
              <w:right w:val="nil"/>
            </w:tcBorders>
            <w:shd w:val="clear" w:color="auto" w:fill="auto"/>
          </w:tcPr>
          <w:p w14:paraId="49CE9784" w14:textId="77777777" w:rsidR="00FB70AC" w:rsidRPr="002E58B8" w:rsidRDefault="00964187" w:rsidP="004A6D2F">
            <w:pPr>
              <w:rPr>
                <w:color w:val="auto"/>
              </w:rPr>
            </w:pPr>
            <w:r w:rsidRPr="002E58B8">
              <w:rPr>
                <w:color w:val="auto"/>
              </w:rPr>
              <w:t xml:space="preserve">Appendix </w:t>
            </w:r>
            <w:r w:rsidR="003F50F9" w:rsidRPr="002E58B8">
              <w:rPr>
                <w:color w:val="auto"/>
              </w:rPr>
              <w:t>A</w:t>
            </w:r>
          </w:p>
          <w:p w14:paraId="15977381" w14:textId="77777777" w:rsidR="00FB70AC" w:rsidRPr="002E58B8" w:rsidRDefault="00FD4134" w:rsidP="004A6D2F">
            <w:pPr>
              <w:rPr>
                <w:color w:val="auto"/>
              </w:rPr>
            </w:pPr>
            <w:r w:rsidRPr="002E58B8">
              <w:rPr>
                <w:color w:val="auto"/>
              </w:rPr>
              <w:t>Appendix B</w:t>
            </w:r>
          </w:p>
          <w:p w14:paraId="6E36D974" w14:textId="77777777" w:rsidR="007333C3" w:rsidRPr="002E58B8" w:rsidRDefault="00785148" w:rsidP="00FC4861">
            <w:pPr>
              <w:rPr>
                <w:color w:val="auto"/>
              </w:rPr>
            </w:pPr>
            <w:r w:rsidRPr="002E58B8">
              <w:rPr>
                <w:color w:val="auto"/>
              </w:rPr>
              <w:t xml:space="preserve">Appendix </w:t>
            </w:r>
            <w:r w:rsidR="001E12C0" w:rsidRPr="002E58B8">
              <w:rPr>
                <w:color w:val="auto"/>
              </w:rPr>
              <w:t>C</w:t>
            </w:r>
          </w:p>
          <w:p w14:paraId="49411CD1" w14:textId="77777777" w:rsidR="00D97EBB" w:rsidRPr="002E58B8" w:rsidRDefault="00D97EBB" w:rsidP="00FC4861">
            <w:pPr>
              <w:rPr>
                <w:color w:val="auto"/>
              </w:rPr>
            </w:pPr>
            <w:r w:rsidRPr="002E58B8">
              <w:rPr>
                <w:color w:val="auto"/>
              </w:rPr>
              <w:t>Appendix D</w:t>
            </w:r>
          </w:p>
        </w:tc>
        <w:tc>
          <w:tcPr>
            <w:tcW w:w="6918" w:type="dxa"/>
            <w:tcBorders>
              <w:top w:val="nil"/>
              <w:left w:val="nil"/>
              <w:bottom w:val="single" w:sz="8" w:space="0" w:color="000000"/>
              <w:right w:val="single" w:sz="8" w:space="0" w:color="000000"/>
            </w:tcBorders>
          </w:tcPr>
          <w:p w14:paraId="61FB6A7F" w14:textId="77777777" w:rsidR="00A91B9B" w:rsidRPr="002E58B8" w:rsidRDefault="00A91B9B" w:rsidP="00A91B9B">
            <w:pPr>
              <w:rPr>
                <w:color w:val="auto"/>
              </w:rPr>
            </w:pPr>
            <w:r w:rsidRPr="002E58B8">
              <w:rPr>
                <w:color w:val="auto"/>
              </w:rPr>
              <w:t xml:space="preserve">General Fund - </w:t>
            </w:r>
            <w:r w:rsidR="002E58B8" w:rsidRPr="002E58B8">
              <w:rPr>
                <w:color w:val="auto"/>
              </w:rPr>
              <w:t>September</w:t>
            </w:r>
            <w:r w:rsidR="00871859" w:rsidRPr="002E58B8">
              <w:rPr>
                <w:color w:val="auto"/>
              </w:rPr>
              <w:t xml:space="preserve"> 2020</w:t>
            </w:r>
            <w:r w:rsidRPr="002E58B8">
              <w:rPr>
                <w:color w:val="auto"/>
              </w:rPr>
              <w:t xml:space="preserve"> Forecast Outturn</w:t>
            </w:r>
          </w:p>
          <w:p w14:paraId="05316B8C" w14:textId="77777777" w:rsidR="002E58B8" w:rsidRPr="002E58B8" w:rsidRDefault="00A91B9B" w:rsidP="00871859">
            <w:pPr>
              <w:rPr>
                <w:color w:val="auto"/>
              </w:rPr>
            </w:pPr>
            <w:r w:rsidRPr="002E58B8">
              <w:rPr>
                <w:color w:val="auto"/>
              </w:rPr>
              <w:t>H</w:t>
            </w:r>
            <w:r w:rsidR="00BB420C" w:rsidRPr="002E58B8">
              <w:rPr>
                <w:color w:val="auto"/>
              </w:rPr>
              <w:t xml:space="preserve">ousing </w:t>
            </w:r>
            <w:r w:rsidRPr="002E58B8">
              <w:rPr>
                <w:color w:val="auto"/>
              </w:rPr>
              <w:t>R</w:t>
            </w:r>
            <w:r w:rsidR="00BB420C" w:rsidRPr="002E58B8">
              <w:rPr>
                <w:color w:val="auto"/>
              </w:rPr>
              <w:t xml:space="preserve">evenue </w:t>
            </w:r>
            <w:r w:rsidRPr="002E58B8">
              <w:rPr>
                <w:color w:val="auto"/>
              </w:rPr>
              <w:t>A</w:t>
            </w:r>
            <w:r w:rsidR="00BB420C" w:rsidRPr="002E58B8">
              <w:rPr>
                <w:color w:val="auto"/>
              </w:rPr>
              <w:t>ccount</w:t>
            </w:r>
            <w:r w:rsidRPr="002E58B8">
              <w:rPr>
                <w:color w:val="auto"/>
              </w:rPr>
              <w:t xml:space="preserve"> - </w:t>
            </w:r>
            <w:r w:rsidR="002E58B8" w:rsidRPr="002E58B8">
              <w:rPr>
                <w:color w:val="auto"/>
              </w:rPr>
              <w:t>Sept</w:t>
            </w:r>
            <w:r w:rsidR="00871859" w:rsidRPr="002E58B8">
              <w:rPr>
                <w:color w:val="auto"/>
              </w:rPr>
              <w:t xml:space="preserve"> 2020</w:t>
            </w:r>
            <w:r w:rsidRPr="002E58B8">
              <w:rPr>
                <w:color w:val="auto"/>
              </w:rPr>
              <w:t xml:space="preserve"> Forecast Outturn</w:t>
            </w:r>
          </w:p>
          <w:p w14:paraId="53F7926E" w14:textId="77777777" w:rsidR="00FC4861" w:rsidRPr="002E58B8" w:rsidRDefault="00FC4861" w:rsidP="00871859">
            <w:pPr>
              <w:rPr>
                <w:color w:val="auto"/>
              </w:rPr>
            </w:pPr>
            <w:r w:rsidRPr="002E58B8">
              <w:rPr>
                <w:color w:val="auto"/>
              </w:rPr>
              <w:t xml:space="preserve">Capital Programme – </w:t>
            </w:r>
            <w:r w:rsidR="002E58B8" w:rsidRPr="002E58B8">
              <w:rPr>
                <w:color w:val="auto"/>
              </w:rPr>
              <w:t>September</w:t>
            </w:r>
            <w:r w:rsidRPr="002E58B8">
              <w:rPr>
                <w:color w:val="auto"/>
              </w:rPr>
              <w:t xml:space="preserve"> 20</w:t>
            </w:r>
            <w:r w:rsidR="00871859" w:rsidRPr="002E58B8">
              <w:rPr>
                <w:color w:val="auto"/>
              </w:rPr>
              <w:t>20</w:t>
            </w:r>
          </w:p>
          <w:p w14:paraId="5BB9651E" w14:textId="77777777" w:rsidR="00D97EBB" w:rsidRPr="002E58B8" w:rsidRDefault="00D97EBB" w:rsidP="002E58B8">
            <w:pPr>
              <w:rPr>
                <w:color w:val="auto"/>
              </w:rPr>
            </w:pPr>
            <w:r w:rsidRPr="002E58B8">
              <w:rPr>
                <w:color w:val="auto"/>
              </w:rPr>
              <w:t xml:space="preserve">Income Streams – </w:t>
            </w:r>
            <w:r w:rsidR="002E58B8" w:rsidRPr="002E58B8">
              <w:rPr>
                <w:color w:val="auto"/>
              </w:rPr>
              <w:t>September</w:t>
            </w:r>
            <w:r w:rsidRPr="002E58B8">
              <w:rPr>
                <w:color w:val="auto"/>
              </w:rPr>
              <w:t xml:space="preserve"> 2020</w:t>
            </w:r>
          </w:p>
        </w:tc>
      </w:tr>
    </w:tbl>
    <w:p w14:paraId="46957C11" w14:textId="77777777" w:rsidR="004363E8" w:rsidRDefault="004363E8" w:rsidP="004A6D2F">
      <w:pPr>
        <w:pStyle w:val="Heading1"/>
        <w:rPr>
          <w:color w:val="auto"/>
        </w:rPr>
      </w:pPr>
    </w:p>
    <w:p w14:paraId="6FC580FF" w14:textId="77777777" w:rsidR="004363E8" w:rsidRDefault="004363E8" w:rsidP="004A6D2F">
      <w:pPr>
        <w:pStyle w:val="Heading1"/>
        <w:rPr>
          <w:color w:val="auto"/>
        </w:rPr>
      </w:pPr>
    </w:p>
    <w:p w14:paraId="06F2BB43" w14:textId="77777777" w:rsidR="004363E8" w:rsidRPr="002E58B8" w:rsidRDefault="004363E8" w:rsidP="004363E8">
      <w:pPr>
        <w:pStyle w:val="Heading1"/>
        <w:rPr>
          <w:color w:val="auto"/>
        </w:rPr>
      </w:pPr>
      <w:r w:rsidRPr="002E58B8">
        <w:rPr>
          <w:color w:val="auto"/>
        </w:rPr>
        <w:lastRenderedPageBreak/>
        <w:t xml:space="preserve">Introduction and background </w:t>
      </w:r>
    </w:p>
    <w:p w14:paraId="2906C04C" w14:textId="77777777" w:rsidR="004363E8" w:rsidRPr="002E58B8" w:rsidRDefault="004363E8" w:rsidP="004363E8">
      <w:pPr>
        <w:pStyle w:val="ListParagraph"/>
        <w:rPr>
          <w:color w:val="FF0000"/>
        </w:rPr>
      </w:pPr>
      <w:r w:rsidRPr="002E58B8">
        <w:rPr>
          <w:color w:val="auto"/>
        </w:rPr>
        <w:t>This report updates the Cabinet on the financial, corporate performance and corporate risk positions of the Council as at 30</w:t>
      </w:r>
      <w:r w:rsidRPr="002E58B8">
        <w:rPr>
          <w:color w:val="auto"/>
          <w:vertAlign w:val="superscript"/>
        </w:rPr>
        <w:t>th</w:t>
      </w:r>
      <w:r w:rsidRPr="002E58B8">
        <w:rPr>
          <w:color w:val="auto"/>
        </w:rPr>
        <w:t xml:space="preserve"> September 2020.  </w:t>
      </w:r>
    </w:p>
    <w:p w14:paraId="030BFDFA" w14:textId="77777777" w:rsidR="004363E8" w:rsidRPr="0001741B" w:rsidRDefault="004363E8" w:rsidP="004363E8">
      <w:pPr>
        <w:pStyle w:val="Heading1"/>
        <w:rPr>
          <w:color w:val="auto"/>
        </w:rPr>
      </w:pPr>
      <w:r w:rsidRPr="0001741B">
        <w:rPr>
          <w:color w:val="auto"/>
        </w:rPr>
        <w:t>Financial Position</w:t>
      </w:r>
    </w:p>
    <w:p w14:paraId="7E1B158A" w14:textId="77777777" w:rsidR="004363E8" w:rsidRPr="00280F0C" w:rsidRDefault="004363E8" w:rsidP="004363E8">
      <w:pPr>
        <w:pStyle w:val="ListParagraph"/>
        <w:numPr>
          <w:ilvl w:val="1"/>
          <w:numId w:val="39"/>
        </w:numPr>
        <w:rPr>
          <w:color w:val="auto"/>
        </w:rPr>
      </w:pPr>
      <w:r w:rsidRPr="0001741B">
        <w:rPr>
          <w:rFonts w:cs="Arial"/>
          <w:b/>
          <w:color w:val="auto"/>
        </w:rPr>
        <w:t>General Fund</w:t>
      </w:r>
      <w:r w:rsidRPr="0001741B">
        <w:rPr>
          <w:rFonts w:cs="Arial"/>
          <w:color w:val="auto"/>
        </w:rPr>
        <w:t xml:space="preserve"> – the outturn position is forecast to be an adverse variance of £</w:t>
      </w:r>
      <w:r w:rsidR="00877963">
        <w:rPr>
          <w:rFonts w:cs="Arial"/>
          <w:color w:val="auto"/>
        </w:rPr>
        <w:t>2.</w:t>
      </w:r>
      <w:r w:rsidR="00CC407B">
        <w:rPr>
          <w:rFonts w:cs="Arial"/>
          <w:color w:val="auto"/>
        </w:rPr>
        <w:t>433</w:t>
      </w:r>
      <w:r w:rsidRPr="0001741B">
        <w:rPr>
          <w:rFonts w:cs="Arial"/>
          <w:color w:val="auto"/>
        </w:rPr>
        <w:t xml:space="preserve"> million against the latest net budget of £23.</w:t>
      </w:r>
      <w:r>
        <w:rPr>
          <w:rFonts w:cs="Arial"/>
          <w:color w:val="auto"/>
        </w:rPr>
        <w:t>396</w:t>
      </w:r>
      <w:r w:rsidRPr="0001741B">
        <w:rPr>
          <w:rFonts w:cs="Arial"/>
          <w:color w:val="auto"/>
        </w:rPr>
        <w:t xml:space="preserve"> million (</w:t>
      </w:r>
      <w:r w:rsidR="00877963">
        <w:rPr>
          <w:rFonts w:cs="Arial"/>
          <w:color w:val="auto"/>
        </w:rPr>
        <w:t>9.6</w:t>
      </w:r>
      <w:r w:rsidRPr="00280F0C">
        <w:rPr>
          <w:rFonts w:cs="Arial"/>
          <w:color w:val="auto"/>
        </w:rPr>
        <w:t>%), and £</w:t>
      </w:r>
      <w:r>
        <w:rPr>
          <w:rFonts w:cs="Arial"/>
          <w:color w:val="auto"/>
        </w:rPr>
        <w:t>11.6</w:t>
      </w:r>
      <w:r w:rsidRPr="00280F0C">
        <w:rPr>
          <w:rFonts w:cs="Arial"/>
          <w:color w:val="auto"/>
        </w:rPr>
        <w:t>22 million against the service area expenditure of £27.895 million (</w:t>
      </w:r>
      <w:r>
        <w:rPr>
          <w:rFonts w:cs="Arial"/>
          <w:color w:val="auto"/>
        </w:rPr>
        <w:t>41</w:t>
      </w:r>
      <w:r w:rsidRPr="00280F0C">
        <w:rPr>
          <w:rFonts w:cs="Arial"/>
          <w:color w:val="auto"/>
        </w:rPr>
        <w:t>.6%);</w:t>
      </w:r>
    </w:p>
    <w:p w14:paraId="70165867" w14:textId="77777777" w:rsidR="004363E8" w:rsidRPr="0001741B" w:rsidRDefault="004363E8" w:rsidP="004363E8">
      <w:pPr>
        <w:pStyle w:val="ListParagraph"/>
        <w:numPr>
          <w:ilvl w:val="1"/>
          <w:numId w:val="39"/>
        </w:numPr>
        <w:rPr>
          <w:color w:val="auto"/>
        </w:rPr>
      </w:pPr>
      <w:r w:rsidRPr="0001741B">
        <w:rPr>
          <w:rFonts w:cs="Arial"/>
          <w:b/>
          <w:color w:val="auto"/>
        </w:rPr>
        <w:t>Housing Revenue Account</w:t>
      </w:r>
      <w:r w:rsidRPr="0001741B">
        <w:rPr>
          <w:rFonts w:cs="Arial"/>
          <w:color w:val="auto"/>
        </w:rPr>
        <w:t xml:space="preserve"> – The budgeted surplus agreed by the Council in February 2020 was £0.992 million.  The outturn position is forecasting an adverse variance of £1.222 million against this; </w:t>
      </w:r>
    </w:p>
    <w:p w14:paraId="244A4F58" w14:textId="1AEF7355" w:rsidR="004363E8" w:rsidRPr="00AA09B6" w:rsidRDefault="004363E8" w:rsidP="00AA09B6">
      <w:pPr>
        <w:pStyle w:val="ListParagraph"/>
        <w:numPr>
          <w:ilvl w:val="1"/>
          <w:numId w:val="39"/>
        </w:numPr>
        <w:rPr>
          <w:strike/>
          <w:color w:val="auto"/>
        </w:rPr>
      </w:pPr>
      <w:r w:rsidRPr="006B6ECB">
        <w:rPr>
          <w:rFonts w:cs="Arial"/>
          <w:b/>
          <w:color w:val="auto"/>
        </w:rPr>
        <w:t>Capital Programme</w:t>
      </w:r>
      <w:r w:rsidRPr="006B6ECB">
        <w:rPr>
          <w:rFonts w:cs="Arial"/>
          <w:color w:val="auto"/>
        </w:rPr>
        <w:t xml:space="preserve"> – </w:t>
      </w:r>
      <w:r w:rsidRPr="006B6ECB">
        <w:rPr>
          <w:color w:val="auto"/>
        </w:rPr>
        <w:t xml:space="preserve">The budget, as approved at Council in February 2020, was set at £142.569 million </w:t>
      </w:r>
      <w:r>
        <w:rPr>
          <w:color w:val="auto"/>
        </w:rPr>
        <w:t xml:space="preserve">and </w:t>
      </w:r>
      <w:r w:rsidRPr="006B6ECB">
        <w:rPr>
          <w:color w:val="auto"/>
        </w:rPr>
        <w:t>with carry forward of unspent balances in 2019-20 this was subsequently revised to £163.314 million.  During the first half year each scheme in the Capital Programme has been reviewed and a revised forecast for many of the schemes has been provided.  The outtu</w:t>
      </w:r>
      <w:r w:rsidR="0020011F">
        <w:rPr>
          <w:color w:val="auto"/>
        </w:rPr>
        <w:t>rn forecast position is now £104</w:t>
      </w:r>
      <w:r w:rsidRPr="006B6ECB">
        <w:rPr>
          <w:color w:val="auto"/>
        </w:rPr>
        <w:t xml:space="preserve">.348 million with </w:t>
      </w:r>
      <w:r w:rsidR="00AA09B6">
        <w:rPr>
          <w:color w:val="auto"/>
        </w:rPr>
        <w:t>a variance of 23</w:t>
      </w:r>
      <w:r w:rsidRPr="00AA09B6">
        <w:rPr>
          <w:color w:val="auto"/>
        </w:rPr>
        <w:t>k</w:t>
      </w:r>
      <w:r w:rsidR="00F81F92" w:rsidRPr="00AA09B6">
        <w:rPr>
          <w:color w:val="auto"/>
        </w:rPr>
        <w:t xml:space="preserve"> against the latest budget of £104.325 million.</w:t>
      </w:r>
    </w:p>
    <w:p w14:paraId="51D2BA69" w14:textId="77777777" w:rsidR="004363E8" w:rsidRPr="00114F20" w:rsidRDefault="004363E8" w:rsidP="004363E8">
      <w:pPr>
        <w:pStyle w:val="ListParagraph"/>
        <w:rPr>
          <w:color w:val="auto"/>
        </w:rPr>
      </w:pPr>
      <w:r w:rsidRPr="00114F20">
        <w:rPr>
          <w:rStyle w:val="Heading1Char"/>
          <w:color w:val="auto"/>
        </w:rPr>
        <w:t xml:space="preserve">Performance </w:t>
      </w:r>
      <w:r w:rsidRPr="00114F20">
        <w:rPr>
          <w:color w:val="auto"/>
        </w:rPr>
        <w:t xml:space="preserve">– Given the COVID-19 pandemic the approval of the Council’s revised Business Plan for the next four year period has been delayed </w:t>
      </w:r>
      <w:r w:rsidR="00D1108C">
        <w:rPr>
          <w:color w:val="auto"/>
        </w:rPr>
        <w:t xml:space="preserve">and as </w:t>
      </w:r>
      <w:r w:rsidRPr="00114F20">
        <w:rPr>
          <w:color w:val="auto"/>
        </w:rPr>
        <w:t xml:space="preserve">such performance indicators </w:t>
      </w:r>
      <w:r w:rsidR="00D1108C">
        <w:rPr>
          <w:color w:val="auto"/>
        </w:rPr>
        <w:t>haven’t yet been identified.</w:t>
      </w:r>
      <w:r w:rsidRPr="00114F20">
        <w:rPr>
          <w:color w:val="auto"/>
        </w:rPr>
        <w:t xml:space="preserve"> The Council is  continuing to monitor service targets through the financial year, and will monitor work streams within the Business Plan rather than specific performance indicators</w:t>
      </w:r>
      <w:r w:rsidRPr="00114F20">
        <w:rPr>
          <w:rFonts w:eastAsia="Calibri" w:cs="Arial"/>
          <w:color w:val="auto"/>
        </w:rPr>
        <w:t>;</w:t>
      </w:r>
    </w:p>
    <w:p w14:paraId="1C462703" w14:textId="77777777" w:rsidR="004363E8" w:rsidRPr="008F1998" w:rsidRDefault="004363E8" w:rsidP="004363E8">
      <w:pPr>
        <w:pStyle w:val="ListParagraph"/>
        <w:rPr>
          <w:color w:val="auto"/>
        </w:rPr>
      </w:pPr>
      <w:r w:rsidRPr="008F1998">
        <w:rPr>
          <w:rFonts w:cs="Arial"/>
          <w:b/>
          <w:color w:val="auto"/>
        </w:rPr>
        <w:t>Corporate Risk Management</w:t>
      </w:r>
      <w:r w:rsidRPr="008F1998">
        <w:rPr>
          <w:rFonts w:cs="Arial"/>
          <w:color w:val="auto"/>
        </w:rPr>
        <w:t xml:space="preserve"> – There are three red corporate risks at the end of quarter two.  These relate to actions taken to ensure housing delivery and supply for the city of Oxford and to enable sufficient house building and investment; local, national or international factors adversely affecting the economic growth of the city and balancing and delivering the financial plan. There are nine amber risks and no green risks.  More details of the risks can be found in paragraphs 1</w:t>
      </w:r>
      <w:r w:rsidR="000053EC">
        <w:rPr>
          <w:rFonts w:cs="Arial"/>
          <w:color w:val="auto"/>
        </w:rPr>
        <w:t>8</w:t>
      </w:r>
      <w:r w:rsidRPr="008F1998">
        <w:rPr>
          <w:rFonts w:cs="Arial"/>
          <w:color w:val="auto"/>
        </w:rPr>
        <w:t xml:space="preserve"> to 1</w:t>
      </w:r>
      <w:r w:rsidR="000053EC">
        <w:rPr>
          <w:rFonts w:cs="Arial"/>
          <w:color w:val="auto"/>
        </w:rPr>
        <w:t>9</w:t>
      </w:r>
      <w:r w:rsidRPr="008F1998">
        <w:rPr>
          <w:rFonts w:cs="Arial"/>
          <w:color w:val="auto"/>
        </w:rPr>
        <w:t>;</w:t>
      </w:r>
    </w:p>
    <w:p w14:paraId="4A5361E6" w14:textId="77777777" w:rsidR="004363E8" w:rsidRPr="00B2419A" w:rsidRDefault="004363E8" w:rsidP="004363E8">
      <w:pPr>
        <w:pStyle w:val="Heading1"/>
        <w:rPr>
          <w:color w:val="000000" w:themeColor="text1"/>
        </w:rPr>
      </w:pPr>
      <w:r w:rsidRPr="00B2419A">
        <w:rPr>
          <w:color w:val="000000" w:themeColor="text1"/>
        </w:rPr>
        <w:t>Financial Position</w:t>
      </w:r>
    </w:p>
    <w:p w14:paraId="7BDF9D27" w14:textId="77777777" w:rsidR="004363E8" w:rsidRPr="00B2419A" w:rsidRDefault="004363E8" w:rsidP="004363E8">
      <w:pPr>
        <w:pStyle w:val="Heading1"/>
        <w:rPr>
          <w:color w:val="000000" w:themeColor="text1"/>
        </w:rPr>
      </w:pPr>
      <w:r w:rsidRPr="00B2419A">
        <w:rPr>
          <w:color w:val="000000" w:themeColor="text1"/>
        </w:rPr>
        <w:t>General Fund Revenue</w:t>
      </w:r>
    </w:p>
    <w:p w14:paraId="4C9CD0E3" w14:textId="77777777" w:rsidR="004363E8" w:rsidRPr="00FB763C" w:rsidRDefault="004363E8" w:rsidP="004363E8">
      <w:pPr>
        <w:pStyle w:val="ListParagraph"/>
        <w:rPr>
          <w:color w:val="000000" w:themeColor="text1"/>
        </w:rPr>
      </w:pPr>
      <w:r w:rsidRPr="00B2419A">
        <w:rPr>
          <w:color w:val="000000" w:themeColor="text1"/>
        </w:rPr>
        <w:t xml:space="preserve">The overall Net Budget Requirement agreed by the Council in February 2020 was £23.573 million. Since setting the budget, service area expenditure has decreased by a net total of £2.395 million, </w:t>
      </w:r>
      <w:r w:rsidR="00013621">
        <w:rPr>
          <w:color w:val="000000" w:themeColor="text1"/>
        </w:rPr>
        <w:t>from £30.290 million to £27.</w:t>
      </w:r>
      <w:r w:rsidR="005C7947">
        <w:rPr>
          <w:color w:val="000000" w:themeColor="text1"/>
        </w:rPr>
        <w:t>8</w:t>
      </w:r>
      <w:r w:rsidR="00013621">
        <w:rPr>
          <w:color w:val="000000" w:themeColor="text1"/>
        </w:rPr>
        <w:t xml:space="preserve">95 million this is due to </w:t>
      </w:r>
      <w:r w:rsidRPr="00B2419A">
        <w:rPr>
          <w:color w:val="000000" w:themeColor="text1"/>
        </w:rPr>
        <w:t xml:space="preserve">a combination of </w:t>
      </w:r>
      <w:proofErr w:type="spellStart"/>
      <w:r w:rsidRPr="00B2419A">
        <w:rPr>
          <w:color w:val="000000" w:themeColor="text1"/>
        </w:rPr>
        <w:t>virements</w:t>
      </w:r>
      <w:proofErr w:type="spellEnd"/>
      <w:r w:rsidRPr="00B2419A">
        <w:rPr>
          <w:color w:val="000000" w:themeColor="text1"/>
        </w:rPr>
        <w:t xml:space="preserve"> </w:t>
      </w:r>
      <w:r w:rsidR="00013621">
        <w:rPr>
          <w:color w:val="000000" w:themeColor="text1"/>
        </w:rPr>
        <w:t>and transfers to and from reserves</w:t>
      </w:r>
      <w:r w:rsidRPr="00B2419A">
        <w:rPr>
          <w:color w:val="000000" w:themeColor="text1"/>
        </w:rPr>
        <w:t xml:space="preserve">.  All growth bids in 2020/21 have been paused as part of the measures to mitigate the losses </w:t>
      </w:r>
      <w:r w:rsidRPr="00FB763C">
        <w:rPr>
          <w:color w:val="000000" w:themeColor="text1"/>
        </w:rPr>
        <w:t xml:space="preserve">resulting from the response to the COVID-19 pandemic. These budgets </w:t>
      </w:r>
      <w:r w:rsidR="000053EC">
        <w:rPr>
          <w:color w:val="000000" w:themeColor="text1"/>
        </w:rPr>
        <w:t xml:space="preserve">totalling around £1 million </w:t>
      </w:r>
      <w:r w:rsidRPr="00FB763C">
        <w:rPr>
          <w:color w:val="000000" w:themeColor="text1"/>
        </w:rPr>
        <w:t xml:space="preserve">have been moved into contingencies and will be used to fund the </w:t>
      </w:r>
      <w:r w:rsidR="000053EC">
        <w:rPr>
          <w:color w:val="000000" w:themeColor="text1"/>
        </w:rPr>
        <w:t xml:space="preserve">forecast </w:t>
      </w:r>
      <w:r w:rsidRPr="00FB763C">
        <w:rPr>
          <w:color w:val="000000" w:themeColor="text1"/>
        </w:rPr>
        <w:t xml:space="preserve">deficit.  The Net Budget Requirement remains unchanged.  </w:t>
      </w:r>
    </w:p>
    <w:p w14:paraId="370667B6" w14:textId="77777777" w:rsidR="004363E8" w:rsidRPr="00FB763C" w:rsidRDefault="004363E8" w:rsidP="004363E8">
      <w:pPr>
        <w:pStyle w:val="ListParagraph"/>
        <w:rPr>
          <w:color w:val="000000" w:themeColor="text1"/>
        </w:rPr>
      </w:pPr>
      <w:proofErr w:type="spellStart"/>
      <w:r w:rsidRPr="00FB763C">
        <w:rPr>
          <w:color w:val="000000" w:themeColor="text1"/>
        </w:rPr>
        <w:t>Virements</w:t>
      </w:r>
      <w:proofErr w:type="spellEnd"/>
      <w:r w:rsidRPr="00FB763C">
        <w:rPr>
          <w:color w:val="000000" w:themeColor="text1"/>
        </w:rPr>
        <w:t xml:space="preserve"> between service areas, were authorised under delegated powers by the Council’s Head of Financial Services, the most notable of which relate to the </w:t>
      </w:r>
      <w:r w:rsidRPr="00FB763C">
        <w:rPr>
          <w:color w:val="000000" w:themeColor="text1"/>
        </w:rPr>
        <w:lastRenderedPageBreak/>
        <w:t>redistribution of transformation funding to fund the Transformation Team and redistribution of Community grants to Housing Needs.</w:t>
      </w:r>
    </w:p>
    <w:p w14:paraId="0BC58364" w14:textId="77777777" w:rsidR="004363E8" w:rsidRPr="00FB763C" w:rsidRDefault="004363E8" w:rsidP="004363E8">
      <w:pPr>
        <w:pStyle w:val="ListParagraph"/>
        <w:rPr>
          <w:color w:val="000000" w:themeColor="text1"/>
        </w:rPr>
      </w:pPr>
      <w:r w:rsidRPr="00FB763C">
        <w:rPr>
          <w:color w:val="000000" w:themeColor="text1"/>
        </w:rPr>
        <w:t>The release from reserves totals a net movement of £1.255 million, made up of the release from Transformation Funds for ongoing projects and release of external grant funding into the service areas for ongoing expenditure.</w:t>
      </w:r>
      <w:r w:rsidR="000053EC">
        <w:rPr>
          <w:color w:val="000000" w:themeColor="text1"/>
        </w:rPr>
        <w:t xml:space="preserve"> Further releases from reserves will be required at year end to balance the budget in the light of financial pressures arising from COVID</w:t>
      </w:r>
    </w:p>
    <w:p w14:paraId="334E57BD" w14:textId="551F5127" w:rsidR="004363E8" w:rsidRPr="00FB763C" w:rsidRDefault="004363E8" w:rsidP="004363E8">
      <w:pPr>
        <w:pStyle w:val="ListParagraph"/>
        <w:rPr>
          <w:color w:val="000000" w:themeColor="text1"/>
        </w:rPr>
      </w:pPr>
      <w:r w:rsidRPr="00FB763C">
        <w:rPr>
          <w:color w:val="000000" w:themeColor="text1"/>
        </w:rPr>
        <w:t>As at 30 September 2020 the General Fund Service Area expenditure is projecting an adverse variance of £11.622 million against the latest budget of £27.895 million, this is in part mitigated by additional funding received from central government specifically to help out Local Authorities with the financial pressures they are facing following the COVID-19 pa</w:t>
      </w:r>
      <w:r w:rsidR="00013621">
        <w:rPr>
          <w:color w:val="000000" w:themeColor="text1"/>
        </w:rPr>
        <w:t xml:space="preserve">ndemic totalling £8.257 million.  </w:t>
      </w:r>
      <w:r w:rsidR="00013621" w:rsidRPr="00013621">
        <w:rPr>
          <w:color w:val="000000" w:themeColor="text1"/>
        </w:rPr>
        <w:t>Within this figure is an estimate of £5 million in respect of the councils claim for compensation in respect of Sales, Fees and Charges based on 95% of loss above a 5% threshold</w:t>
      </w:r>
      <w:r w:rsidR="00300C5F">
        <w:rPr>
          <w:color w:val="000000" w:themeColor="text1"/>
        </w:rPr>
        <w:t xml:space="preserve"> which will not be confirmed until year end</w:t>
      </w:r>
    </w:p>
    <w:p w14:paraId="5F88C147" w14:textId="77777777" w:rsidR="004363E8" w:rsidRPr="0095689B" w:rsidRDefault="004363E8" w:rsidP="004363E8">
      <w:pPr>
        <w:pStyle w:val="ListParagraph"/>
        <w:rPr>
          <w:color w:val="000000" w:themeColor="text1"/>
        </w:rPr>
      </w:pPr>
      <w:r w:rsidRPr="00FB763C">
        <w:rPr>
          <w:color w:val="000000" w:themeColor="text1"/>
        </w:rPr>
        <w:t>The key variances across the services which are all as a consequence of the response to COVID-19 pandemic either due to additional expenditure or loss of income, by serv</w:t>
      </w:r>
      <w:r w:rsidRPr="0095689B">
        <w:rPr>
          <w:color w:val="000000" w:themeColor="text1"/>
        </w:rPr>
        <w:t>ice area are:</w:t>
      </w:r>
    </w:p>
    <w:p w14:paraId="1C6BB5E9" w14:textId="77777777" w:rsidR="004363E8" w:rsidRPr="0095689B" w:rsidRDefault="004363E8" w:rsidP="004363E8">
      <w:pPr>
        <w:pStyle w:val="ListParagraph"/>
        <w:numPr>
          <w:ilvl w:val="0"/>
          <w:numId w:val="40"/>
        </w:numPr>
        <w:rPr>
          <w:color w:val="000000" w:themeColor="text1"/>
        </w:rPr>
      </w:pPr>
      <w:r w:rsidRPr="0095689B">
        <w:rPr>
          <w:b/>
          <w:color w:val="000000" w:themeColor="text1"/>
        </w:rPr>
        <w:t>Business Improvement</w:t>
      </w:r>
      <w:r w:rsidRPr="0095689B">
        <w:rPr>
          <w:color w:val="000000" w:themeColor="text1"/>
        </w:rPr>
        <w:t xml:space="preserve"> – a net adverse variance of £0.406 million across the service area.  A large proportion of this variance is within ICT and relates to staffing costs above budget, additional cost for telephony services due to most staff working from home and a higher usage of telephones for calls and use of data heavy applications such as Teams and Zoom.  There is also a notable cost for data usage and storage over and above the contract price with the data centre provider.  A small saving of £10k has been identified on printing costs due to staff predominately working from home.  Within HR &amp; OD there is a net favourable variance which is made up of an adverse variance relating to expenditure in relation to maintenance and development of </w:t>
      </w:r>
      <w:proofErr w:type="spellStart"/>
      <w:r w:rsidRPr="0095689B">
        <w:rPr>
          <w:color w:val="000000" w:themeColor="text1"/>
        </w:rPr>
        <w:t>i-trent</w:t>
      </w:r>
      <w:proofErr w:type="spellEnd"/>
      <w:r w:rsidRPr="0095689B">
        <w:rPr>
          <w:color w:val="000000" w:themeColor="text1"/>
        </w:rPr>
        <w:t>, which has been offset by savings on the training budget.  Savings from vacant post</w:t>
      </w:r>
      <w:r w:rsidR="00300C5F">
        <w:rPr>
          <w:color w:val="000000" w:themeColor="text1"/>
        </w:rPr>
        <w:t xml:space="preserve">s and underspends in the training budget totalling </w:t>
      </w:r>
      <w:r w:rsidR="00FE7BB6">
        <w:rPr>
          <w:color w:val="000000" w:themeColor="text1"/>
        </w:rPr>
        <w:t>£80k</w:t>
      </w:r>
      <w:r w:rsidRPr="0095689B">
        <w:rPr>
          <w:color w:val="000000" w:themeColor="text1"/>
        </w:rPr>
        <w:t xml:space="preserve"> have been utilised to fund the ongoing work on the People Strategy. </w:t>
      </w:r>
    </w:p>
    <w:p w14:paraId="6B2E5B72" w14:textId="1741EF6C" w:rsidR="004363E8" w:rsidRPr="0095689B" w:rsidRDefault="004363E8" w:rsidP="004363E8">
      <w:pPr>
        <w:pStyle w:val="ListParagraph"/>
        <w:numPr>
          <w:ilvl w:val="0"/>
          <w:numId w:val="40"/>
        </w:numPr>
        <w:rPr>
          <w:color w:val="000000" w:themeColor="text1"/>
        </w:rPr>
      </w:pPr>
      <w:r w:rsidRPr="0095689B">
        <w:rPr>
          <w:b/>
          <w:color w:val="000000" w:themeColor="text1"/>
        </w:rPr>
        <w:t>Community Services</w:t>
      </w:r>
      <w:r w:rsidRPr="0095689B">
        <w:rPr>
          <w:color w:val="000000" w:themeColor="text1"/>
        </w:rPr>
        <w:t xml:space="preserve"> – an adverse variance of £1.765 million, which is a reduction</w:t>
      </w:r>
      <w:r w:rsidR="002D049F">
        <w:rPr>
          <w:color w:val="000000" w:themeColor="text1"/>
        </w:rPr>
        <w:t xml:space="preserve"> (i.e. reduced adverse variance)</w:t>
      </w:r>
      <w:r w:rsidRPr="0095689B">
        <w:rPr>
          <w:color w:val="000000" w:themeColor="text1"/>
        </w:rPr>
        <w:t xml:space="preserve"> of £0.440 million from last quarter. This is made up of reduced income projections from community centre rents and Town Hall events mitigated by savings on utilities, waste collection, and other costs associated with holding such events</w:t>
      </w:r>
      <w:r w:rsidR="00300C5F">
        <w:rPr>
          <w:color w:val="000000" w:themeColor="text1"/>
        </w:rPr>
        <w:t>.</w:t>
      </w:r>
      <w:r w:rsidRPr="0095689B">
        <w:rPr>
          <w:color w:val="000000" w:themeColor="text1"/>
        </w:rPr>
        <w:t xml:space="preserve"> </w:t>
      </w:r>
      <w:r w:rsidR="00300C5F">
        <w:rPr>
          <w:color w:val="000000" w:themeColor="text1"/>
        </w:rPr>
        <w:t>T</w:t>
      </w:r>
      <w:r w:rsidRPr="0095689B">
        <w:rPr>
          <w:color w:val="000000" w:themeColor="text1"/>
        </w:rPr>
        <w:t xml:space="preserve">he net loss from this source is </w:t>
      </w:r>
      <w:r w:rsidR="00300C5F">
        <w:rPr>
          <w:color w:val="000000" w:themeColor="text1"/>
        </w:rPr>
        <w:t xml:space="preserve">now estimated at </w:t>
      </w:r>
      <w:r w:rsidRPr="0095689B">
        <w:rPr>
          <w:color w:val="000000" w:themeColor="text1"/>
        </w:rPr>
        <w:t>over £0.900 million.</w:t>
      </w:r>
      <w:r w:rsidR="00AA09B6">
        <w:rPr>
          <w:color w:val="000000" w:themeColor="text1"/>
        </w:rPr>
        <w:t xml:space="preserve">  This loss is expected to be compensated through the sales, fees and charges claim referred to in paragraph 11.</w:t>
      </w:r>
    </w:p>
    <w:p w14:paraId="6C772045" w14:textId="2D79399C" w:rsidR="004363E8" w:rsidRPr="0095689B" w:rsidRDefault="004363E8" w:rsidP="004363E8">
      <w:pPr>
        <w:pStyle w:val="ListParagraph"/>
        <w:numPr>
          <w:ilvl w:val="0"/>
          <w:numId w:val="0"/>
        </w:numPr>
        <w:ind w:left="1440"/>
        <w:rPr>
          <w:color w:val="000000" w:themeColor="text1"/>
        </w:rPr>
      </w:pPr>
      <w:r w:rsidRPr="0095689B">
        <w:rPr>
          <w:color w:val="000000" w:themeColor="text1"/>
        </w:rPr>
        <w:t>The service area has also seen additional costs relating to leisure services and the setting up and running of the locality hubs.  A</w:t>
      </w:r>
      <w:r w:rsidR="00FE7BB6">
        <w:rPr>
          <w:color w:val="000000" w:themeColor="text1"/>
        </w:rPr>
        <w:t xml:space="preserve">n </w:t>
      </w:r>
      <w:r w:rsidRPr="0095689B">
        <w:rPr>
          <w:color w:val="000000" w:themeColor="text1"/>
        </w:rPr>
        <w:t xml:space="preserve">agreement has been made with Fusion </w:t>
      </w:r>
      <w:r w:rsidR="00300C5F">
        <w:rPr>
          <w:color w:val="000000" w:themeColor="text1"/>
        </w:rPr>
        <w:t>on the amount of funding to open all leisure centres with the exception of Barton</w:t>
      </w:r>
      <w:r w:rsidR="0073051A">
        <w:rPr>
          <w:color w:val="000000" w:themeColor="text1"/>
        </w:rPr>
        <w:t>,</w:t>
      </w:r>
      <w:r w:rsidR="00300C5F">
        <w:rPr>
          <w:color w:val="000000" w:themeColor="text1"/>
        </w:rPr>
        <w:t xml:space="preserve"> on a reduced capacity as well as around the management fee. This is </w:t>
      </w:r>
      <w:r w:rsidR="00FE7BB6">
        <w:rPr>
          <w:color w:val="000000" w:themeColor="text1"/>
        </w:rPr>
        <w:t>forecast</w:t>
      </w:r>
      <w:r w:rsidR="00300C5F">
        <w:rPr>
          <w:color w:val="000000" w:themeColor="text1"/>
        </w:rPr>
        <w:t xml:space="preserve"> to result in a </w:t>
      </w:r>
      <w:r w:rsidRPr="0095689B">
        <w:rPr>
          <w:color w:val="000000" w:themeColor="text1"/>
        </w:rPr>
        <w:t xml:space="preserve">financial pressure in the current year </w:t>
      </w:r>
      <w:r w:rsidR="00300C5F">
        <w:rPr>
          <w:color w:val="000000" w:themeColor="text1"/>
        </w:rPr>
        <w:t>of around</w:t>
      </w:r>
      <w:r w:rsidRPr="0095689B">
        <w:rPr>
          <w:color w:val="000000" w:themeColor="text1"/>
        </w:rPr>
        <w:t xml:space="preserve"> £0.700 million. </w:t>
      </w:r>
    </w:p>
    <w:p w14:paraId="311DDAA6" w14:textId="77777777" w:rsidR="004363E8" w:rsidRPr="0095689B" w:rsidRDefault="004363E8" w:rsidP="004363E8">
      <w:pPr>
        <w:pStyle w:val="ListParagraph"/>
        <w:numPr>
          <w:ilvl w:val="0"/>
          <w:numId w:val="0"/>
        </w:numPr>
        <w:ind w:left="1440"/>
        <w:rPr>
          <w:color w:val="000000" w:themeColor="text1"/>
        </w:rPr>
      </w:pPr>
      <w:r w:rsidRPr="0095689B">
        <w:rPr>
          <w:color w:val="000000" w:themeColor="text1"/>
        </w:rPr>
        <w:lastRenderedPageBreak/>
        <w:t>Setting up and running of the locality hubs has included the cost of food parcels, transportation and additional staffing costs to support vulnerable people during COVID-19 pandemic.</w:t>
      </w:r>
    </w:p>
    <w:p w14:paraId="6159D537" w14:textId="0DF536A2" w:rsidR="004363E8" w:rsidRPr="00372C90" w:rsidRDefault="004363E8" w:rsidP="004363E8">
      <w:pPr>
        <w:pStyle w:val="ListParagraph"/>
        <w:numPr>
          <w:ilvl w:val="0"/>
          <w:numId w:val="40"/>
        </w:numPr>
        <w:rPr>
          <w:rFonts w:cs="Arial"/>
          <w:color w:val="auto"/>
        </w:rPr>
      </w:pPr>
      <w:r w:rsidRPr="00372C90">
        <w:rPr>
          <w:b/>
          <w:color w:val="auto"/>
        </w:rPr>
        <w:t>Regeneration &amp; Economy</w:t>
      </w:r>
      <w:r w:rsidR="00372C90">
        <w:rPr>
          <w:color w:val="auto"/>
        </w:rPr>
        <w:t xml:space="preserve"> </w:t>
      </w:r>
      <w:r w:rsidRPr="00372C90">
        <w:rPr>
          <w:color w:val="auto"/>
        </w:rPr>
        <w:t xml:space="preserve">(Commercial property income) </w:t>
      </w:r>
      <w:r w:rsidR="00372C90" w:rsidRPr="00372C90">
        <w:rPr>
          <w:color w:val="auto"/>
        </w:rPr>
        <w:t>adverse variance of £4.2 million</w:t>
      </w:r>
      <w:r w:rsidR="00013621">
        <w:rPr>
          <w:color w:val="auto"/>
        </w:rPr>
        <w:t xml:space="preserve">.  </w:t>
      </w:r>
      <w:r w:rsidR="00300C5F">
        <w:rPr>
          <w:color w:val="auto"/>
        </w:rPr>
        <w:t>A number of businesses occupying property owned by the Council have gone into liquidation and others may follow suit. This variance is a prudent forecast of reduced income and t</w:t>
      </w:r>
      <w:r w:rsidR="00013621">
        <w:rPr>
          <w:color w:val="auto"/>
        </w:rPr>
        <w:t>his</w:t>
      </w:r>
      <w:r w:rsidR="00372C90" w:rsidRPr="00372C90">
        <w:rPr>
          <w:color w:val="auto"/>
        </w:rPr>
        <w:t xml:space="preserve"> position </w:t>
      </w:r>
      <w:r w:rsidR="00013621">
        <w:rPr>
          <w:color w:val="auto"/>
        </w:rPr>
        <w:t>remains</w:t>
      </w:r>
      <w:r w:rsidR="0073051A">
        <w:rPr>
          <w:color w:val="auto"/>
        </w:rPr>
        <w:t xml:space="preserve"> challenging and is materially a</w:t>
      </w:r>
      <w:r w:rsidR="00372C90" w:rsidRPr="00372C90">
        <w:rPr>
          <w:color w:val="auto"/>
        </w:rPr>
        <w:t xml:space="preserve">ffecting </w:t>
      </w:r>
      <w:r w:rsidR="00013621">
        <w:rPr>
          <w:color w:val="auto"/>
        </w:rPr>
        <w:t xml:space="preserve">the Council’s financial </w:t>
      </w:r>
      <w:r w:rsidR="00372C90" w:rsidRPr="00372C90">
        <w:rPr>
          <w:color w:val="auto"/>
        </w:rPr>
        <w:t>positon.</w:t>
      </w:r>
      <w:r w:rsidRPr="00372C90">
        <w:rPr>
          <w:color w:val="auto"/>
        </w:rPr>
        <w:t xml:space="preserve">   </w:t>
      </w:r>
    </w:p>
    <w:p w14:paraId="4E5580B0" w14:textId="77777777" w:rsidR="004363E8" w:rsidRPr="00340C0C" w:rsidRDefault="004363E8" w:rsidP="004363E8">
      <w:pPr>
        <w:pStyle w:val="ListParagraph"/>
        <w:numPr>
          <w:ilvl w:val="0"/>
          <w:numId w:val="40"/>
        </w:numPr>
        <w:rPr>
          <w:color w:val="000000" w:themeColor="text1"/>
        </w:rPr>
      </w:pPr>
      <w:r w:rsidRPr="00340C0C">
        <w:rPr>
          <w:b/>
          <w:color w:val="000000" w:themeColor="text1"/>
        </w:rPr>
        <w:t>Housing Services</w:t>
      </w:r>
      <w:r w:rsidRPr="00340C0C">
        <w:rPr>
          <w:color w:val="000000" w:themeColor="text1"/>
        </w:rPr>
        <w:t xml:space="preserve"> – adverse variance of £0.818 million, £0.300 million relates to the cost of providing accommodation and food to rough sleepers for the 3 months to June 2020, however there has been grant funding </w:t>
      </w:r>
      <w:r w:rsidR="00013621">
        <w:rPr>
          <w:color w:val="000000" w:themeColor="text1"/>
        </w:rPr>
        <w:t xml:space="preserve">and contributions </w:t>
      </w:r>
      <w:r w:rsidRPr="00340C0C">
        <w:rPr>
          <w:color w:val="000000" w:themeColor="text1"/>
        </w:rPr>
        <w:t>received to cover these costs which is shown in the funding section of the report.  £0.518 million adverse variance relates to health and safety and compliance works that are required across the property portfolio where specific reserves would previously have been used but will no longer be available.</w:t>
      </w:r>
    </w:p>
    <w:p w14:paraId="4136B462" w14:textId="77777777" w:rsidR="004363E8" w:rsidRPr="00340C0C" w:rsidRDefault="004363E8" w:rsidP="004363E8">
      <w:pPr>
        <w:pStyle w:val="ListParagraph"/>
        <w:numPr>
          <w:ilvl w:val="0"/>
          <w:numId w:val="40"/>
        </w:numPr>
        <w:rPr>
          <w:color w:val="000000" w:themeColor="text1"/>
        </w:rPr>
      </w:pPr>
      <w:r w:rsidRPr="00340C0C">
        <w:rPr>
          <w:b/>
          <w:color w:val="000000" w:themeColor="text1"/>
        </w:rPr>
        <w:t>Regulatory Services and Community</w:t>
      </w:r>
      <w:r w:rsidRPr="00340C0C">
        <w:rPr>
          <w:color w:val="000000" w:themeColor="text1"/>
        </w:rPr>
        <w:t xml:space="preserve"> </w:t>
      </w:r>
      <w:r w:rsidRPr="00340C0C">
        <w:rPr>
          <w:b/>
          <w:color w:val="000000" w:themeColor="text1"/>
        </w:rPr>
        <w:t>Safety</w:t>
      </w:r>
      <w:r w:rsidRPr="00340C0C">
        <w:rPr>
          <w:color w:val="000000" w:themeColor="text1"/>
        </w:rPr>
        <w:t xml:space="preserve"> – adverse variance of £0.306 million due to loss of income across street trading licences, building control fees and private sector landlord penalties.  These have all declined in the first quarter of the year but expect to start to pick up as lockdown eases.</w:t>
      </w:r>
    </w:p>
    <w:p w14:paraId="6AB2E246" w14:textId="646DE9A4" w:rsidR="004363E8" w:rsidRPr="00340C0C" w:rsidRDefault="004363E8" w:rsidP="004363E8">
      <w:pPr>
        <w:pStyle w:val="ListParagraph"/>
        <w:numPr>
          <w:ilvl w:val="0"/>
          <w:numId w:val="40"/>
        </w:numPr>
        <w:rPr>
          <w:color w:val="000000" w:themeColor="text1"/>
        </w:rPr>
      </w:pPr>
      <w:r w:rsidRPr="00340C0C">
        <w:rPr>
          <w:b/>
          <w:color w:val="000000" w:themeColor="text1"/>
        </w:rPr>
        <w:t>Oxford Direct Services Client</w:t>
      </w:r>
      <w:r w:rsidRPr="00340C0C">
        <w:rPr>
          <w:color w:val="000000" w:themeColor="text1"/>
        </w:rPr>
        <w:t xml:space="preserve"> – adverse variance of £4.005 million, £2.800 million relates to projected loss of car parking income for the year, where the actual loss to date is approximately £2.0 million. The use of car parks is starting to increase and </w:t>
      </w:r>
      <w:r w:rsidR="0073051A">
        <w:rPr>
          <w:color w:val="000000" w:themeColor="text1"/>
        </w:rPr>
        <w:t>the Council is</w:t>
      </w:r>
      <w:r w:rsidRPr="00340C0C">
        <w:rPr>
          <w:color w:val="000000" w:themeColor="text1"/>
        </w:rPr>
        <w:t xml:space="preserve"> expecting this to continue to improve during the second half of the year; £1.155 million relates to the reduction of expected dividend payment to be received from Oxford Di</w:t>
      </w:r>
      <w:r w:rsidR="00013621">
        <w:rPr>
          <w:color w:val="000000" w:themeColor="text1"/>
        </w:rPr>
        <w:t xml:space="preserve">rect Services (ODS) due to the inability to access council housing property </w:t>
      </w:r>
      <w:r w:rsidRPr="00340C0C">
        <w:rPr>
          <w:color w:val="000000" w:themeColor="text1"/>
        </w:rPr>
        <w:t>to carry out much of their repairs work during lockdown, other income streams within ODS have also been impacted such as Motor transport and commercial waste.  The company will continue to review its business plan and look to contain the losses and commence recovery.</w:t>
      </w:r>
    </w:p>
    <w:p w14:paraId="6B9F8CFD" w14:textId="67A92645" w:rsidR="004363E8" w:rsidRPr="00340C0C" w:rsidRDefault="004363E8" w:rsidP="004363E8">
      <w:pPr>
        <w:pStyle w:val="ListParagraph"/>
        <w:rPr>
          <w:color w:val="000000" w:themeColor="text1"/>
        </w:rPr>
      </w:pPr>
      <w:r w:rsidRPr="00340C0C">
        <w:rPr>
          <w:color w:val="000000" w:themeColor="text1"/>
        </w:rPr>
        <w:t xml:space="preserve"> Within the Corporate accounts there is a forecast variance of £0.093 million, this relates to loss of interest receivable on investments.  Bank base rates </w:t>
      </w:r>
      <w:r w:rsidR="00013621">
        <w:rPr>
          <w:color w:val="000000" w:themeColor="text1"/>
        </w:rPr>
        <w:t xml:space="preserve">remain </w:t>
      </w:r>
      <w:r w:rsidRPr="00340C0C">
        <w:rPr>
          <w:color w:val="000000" w:themeColor="text1"/>
        </w:rPr>
        <w:t>at an all-time low of 0.1%</w:t>
      </w:r>
      <w:r w:rsidR="00013621">
        <w:rPr>
          <w:color w:val="000000" w:themeColor="text1"/>
        </w:rPr>
        <w:t xml:space="preserve"> and investments</w:t>
      </w:r>
      <w:r w:rsidRPr="00340C0C">
        <w:rPr>
          <w:color w:val="000000" w:themeColor="text1"/>
        </w:rPr>
        <w:t xml:space="preserve"> continue to deliver minimal returns to the Council </w:t>
      </w:r>
    </w:p>
    <w:p w14:paraId="62F0C5E3" w14:textId="77777777" w:rsidR="004363E8" w:rsidRPr="00340C0C" w:rsidRDefault="004363E8" w:rsidP="004363E8">
      <w:pPr>
        <w:pStyle w:val="ListParagraph"/>
        <w:rPr>
          <w:color w:val="000000" w:themeColor="text1"/>
        </w:rPr>
      </w:pPr>
      <w:r w:rsidRPr="00340C0C">
        <w:rPr>
          <w:color w:val="000000" w:themeColor="text1"/>
        </w:rPr>
        <w:t xml:space="preserve">To mitigate some of these losses the Council has  received Government funding which includes Emergency (COVID) Fund of £2.465 million; Rough sleepers fund £0.032 million, furlough grant approx. £0.214 million and funding from Oxfordshire County Council of £0.300 million to assist with expenditure on services for the  homeless. </w:t>
      </w:r>
    </w:p>
    <w:p w14:paraId="49E47898" w14:textId="77777777" w:rsidR="004363E8" w:rsidRPr="00340C0C" w:rsidRDefault="004363E8" w:rsidP="004363E8">
      <w:pPr>
        <w:pStyle w:val="ListParagraph"/>
        <w:rPr>
          <w:color w:val="000000" w:themeColor="text1"/>
        </w:rPr>
      </w:pPr>
      <w:r w:rsidRPr="00340C0C">
        <w:rPr>
          <w:color w:val="000000" w:themeColor="text1"/>
        </w:rPr>
        <w:t>At the same time the Government issued a further funding for lo</w:t>
      </w:r>
      <w:r w:rsidR="00300C5F">
        <w:rPr>
          <w:color w:val="000000" w:themeColor="text1"/>
        </w:rPr>
        <w:t>s</w:t>
      </w:r>
      <w:r w:rsidRPr="00340C0C">
        <w:rPr>
          <w:color w:val="000000" w:themeColor="text1"/>
        </w:rPr>
        <w:t>s</w:t>
      </w:r>
      <w:r w:rsidR="00013621">
        <w:rPr>
          <w:color w:val="000000" w:themeColor="text1"/>
        </w:rPr>
        <w:t>es of</w:t>
      </w:r>
      <w:r w:rsidRPr="00340C0C">
        <w:rPr>
          <w:color w:val="000000" w:themeColor="text1"/>
        </w:rPr>
        <w:t xml:space="preserve"> income from sales fees and charges and changes to allocate tax deficits that would normally be charged to 2021-22 to be spread over 3 years. The scheme details also included :</w:t>
      </w:r>
    </w:p>
    <w:p w14:paraId="5CF344F8" w14:textId="77777777" w:rsidR="004363E8" w:rsidRPr="00340C0C" w:rsidRDefault="004363E8" w:rsidP="004363E8">
      <w:pPr>
        <w:pStyle w:val="Default"/>
        <w:rPr>
          <w:color w:val="000000" w:themeColor="text1"/>
        </w:rPr>
      </w:pPr>
    </w:p>
    <w:p w14:paraId="7BA9D18E" w14:textId="77777777" w:rsidR="004363E8" w:rsidRPr="00340C0C" w:rsidRDefault="004363E8" w:rsidP="004363E8">
      <w:pPr>
        <w:pStyle w:val="Default"/>
        <w:numPr>
          <w:ilvl w:val="0"/>
          <w:numId w:val="41"/>
        </w:numPr>
        <w:rPr>
          <w:color w:val="000000" w:themeColor="text1"/>
        </w:rPr>
      </w:pPr>
      <w:r w:rsidRPr="00340C0C">
        <w:rPr>
          <w:color w:val="000000" w:themeColor="text1"/>
        </w:rPr>
        <w:lastRenderedPageBreak/>
        <w:t>Councils will absorb losses up to 5% of their budgeted sales, fees and charges income for 2020-21, with the government compensating them for 75p in every pound of relevant loss thereafter;</w:t>
      </w:r>
    </w:p>
    <w:p w14:paraId="3CD93144" w14:textId="77777777" w:rsidR="004363E8" w:rsidRPr="00340C0C" w:rsidRDefault="004363E8" w:rsidP="004363E8">
      <w:pPr>
        <w:numPr>
          <w:ilvl w:val="0"/>
          <w:numId w:val="41"/>
        </w:numPr>
        <w:autoSpaceDE w:val="0"/>
        <w:autoSpaceDN w:val="0"/>
        <w:adjustRightInd w:val="0"/>
        <w:spacing w:after="0"/>
        <w:rPr>
          <w:rFonts w:cs="Arial"/>
          <w:color w:val="000000" w:themeColor="text1"/>
        </w:rPr>
      </w:pPr>
      <w:r w:rsidRPr="00340C0C">
        <w:rPr>
          <w:rFonts w:cs="Arial"/>
          <w:color w:val="000000" w:themeColor="text1"/>
        </w:rPr>
        <w:t>The scheme compensates for income that local authorities generate independently which is defined as a sale, fees and charges – for example, car parking charges or receipts from cultural asset charges;</w:t>
      </w:r>
    </w:p>
    <w:p w14:paraId="7343E121" w14:textId="77777777" w:rsidR="004363E8" w:rsidRPr="00340C0C" w:rsidRDefault="004363E8" w:rsidP="004363E8">
      <w:pPr>
        <w:pStyle w:val="ListParagraph"/>
        <w:numPr>
          <w:ilvl w:val="0"/>
          <w:numId w:val="41"/>
        </w:numPr>
        <w:autoSpaceDE w:val="0"/>
        <w:autoSpaceDN w:val="0"/>
        <w:adjustRightInd w:val="0"/>
        <w:spacing w:after="0"/>
        <w:rPr>
          <w:rFonts w:cs="Arial"/>
          <w:color w:val="000000" w:themeColor="text1"/>
        </w:rPr>
      </w:pPr>
      <w:r w:rsidRPr="00340C0C">
        <w:rPr>
          <w:rFonts w:cs="Arial"/>
          <w:color w:val="000000" w:themeColor="text1"/>
        </w:rPr>
        <w:t>The scheme will cover transactional income from customer and client receipts (excluding rents and investment income) which is generated from the delivery of services which was budgeted for in 20/21;</w:t>
      </w:r>
    </w:p>
    <w:p w14:paraId="0E20B09E" w14:textId="77777777" w:rsidR="004363E8" w:rsidRPr="00340C0C" w:rsidRDefault="004363E8" w:rsidP="004363E8">
      <w:pPr>
        <w:pStyle w:val="ListParagraph"/>
        <w:numPr>
          <w:ilvl w:val="0"/>
          <w:numId w:val="41"/>
        </w:numPr>
        <w:autoSpaceDE w:val="0"/>
        <w:autoSpaceDN w:val="0"/>
        <w:adjustRightInd w:val="0"/>
        <w:spacing w:after="0"/>
        <w:rPr>
          <w:rFonts w:cs="Arial"/>
          <w:color w:val="000000" w:themeColor="text1"/>
        </w:rPr>
      </w:pPr>
      <w:r w:rsidRPr="00340C0C">
        <w:rPr>
          <w:rFonts w:cs="Arial"/>
          <w:color w:val="000000" w:themeColor="text1"/>
        </w:rPr>
        <w:t>commercial revenues, including rental amounts are not considered relevant losses and will not be compensated for under this scheme ;</w:t>
      </w:r>
    </w:p>
    <w:p w14:paraId="17245A2B" w14:textId="77777777" w:rsidR="004363E8" w:rsidRPr="00340C0C" w:rsidRDefault="004363E8" w:rsidP="004363E8">
      <w:pPr>
        <w:pStyle w:val="ListParagraph"/>
        <w:numPr>
          <w:ilvl w:val="0"/>
          <w:numId w:val="41"/>
        </w:numPr>
        <w:autoSpaceDE w:val="0"/>
        <w:autoSpaceDN w:val="0"/>
        <w:adjustRightInd w:val="0"/>
        <w:spacing w:after="0"/>
        <w:rPr>
          <w:color w:val="000000" w:themeColor="text1"/>
        </w:rPr>
      </w:pPr>
      <w:r w:rsidRPr="00340C0C">
        <w:rPr>
          <w:rFonts w:cs="Arial"/>
          <w:color w:val="000000" w:themeColor="text1"/>
        </w:rPr>
        <w:t>The Section 151 officer will be responsible for self-certifying the accuracy and reasonableness of their claim against the principles and guidance provided and the Government</w:t>
      </w:r>
      <w:r w:rsidR="00300C5F">
        <w:rPr>
          <w:rFonts w:cs="Arial"/>
          <w:color w:val="000000" w:themeColor="text1"/>
        </w:rPr>
        <w:t xml:space="preserve"> through the engagement of external auditors</w:t>
      </w:r>
      <w:r w:rsidRPr="00340C0C">
        <w:rPr>
          <w:rFonts w:cs="Arial"/>
          <w:color w:val="000000" w:themeColor="text1"/>
        </w:rPr>
        <w:t xml:space="preserve"> will sample check claims;</w:t>
      </w:r>
    </w:p>
    <w:p w14:paraId="68A3E302" w14:textId="77777777" w:rsidR="004363E8" w:rsidRPr="00340C0C" w:rsidRDefault="004363E8" w:rsidP="004363E8">
      <w:pPr>
        <w:ind w:left="786"/>
        <w:rPr>
          <w:color w:val="000000" w:themeColor="text1"/>
        </w:rPr>
      </w:pPr>
    </w:p>
    <w:p w14:paraId="7248B730" w14:textId="43952926" w:rsidR="004363E8" w:rsidRPr="00340C0C" w:rsidRDefault="00C85750" w:rsidP="004363E8">
      <w:pPr>
        <w:pStyle w:val="ListParagraph"/>
        <w:rPr>
          <w:color w:val="000000" w:themeColor="text1"/>
        </w:rPr>
      </w:pPr>
      <w:r>
        <w:rPr>
          <w:color w:val="000000" w:themeColor="text1"/>
        </w:rPr>
        <w:t>The Council</w:t>
      </w:r>
      <w:r w:rsidR="004363E8" w:rsidRPr="00340C0C">
        <w:rPr>
          <w:color w:val="000000" w:themeColor="text1"/>
        </w:rPr>
        <w:t xml:space="preserve"> </w:t>
      </w:r>
      <w:r>
        <w:rPr>
          <w:color w:val="000000" w:themeColor="text1"/>
        </w:rPr>
        <w:t xml:space="preserve">has </w:t>
      </w:r>
      <w:r w:rsidR="004363E8" w:rsidRPr="00340C0C">
        <w:rPr>
          <w:color w:val="000000" w:themeColor="text1"/>
        </w:rPr>
        <w:t>completed the first</w:t>
      </w:r>
      <w:r>
        <w:rPr>
          <w:color w:val="000000" w:themeColor="text1"/>
        </w:rPr>
        <w:t xml:space="preserve"> claim and through this and its initial</w:t>
      </w:r>
      <w:r w:rsidR="004363E8" w:rsidRPr="00340C0C">
        <w:rPr>
          <w:color w:val="000000" w:themeColor="text1"/>
        </w:rPr>
        <w:t xml:space="preserve"> assessment </w:t>
      </w:r>
      <w:r>
        <w:rPr>
          <w:color w:val="000000" w:themeColor="text1"/>
        </w:rPr>
        <w:t xml:space="preserve">the Council </w:t>
      </w:r>
      <w:r w:rsidR="004363E8" w:rsidRPr="00340C0C">
        <w:rPr>
          <w:color w:val="000000" w:themeColor="text1"/>
        </w:rPr>
        <w:t>believe</w:t>
      </w:r>
      <w:r>
        <w:rPr>
          <w:color w:val="000000" w:themeColor="text1"/>
        </w:rPr>
        <w:t>s</w:t>
      </w:r>
      <w:r w:rsidR="004363E8" w:rsidRPr="00340C0C">
        <w:rPr>
          <w:color w:val="000000" w:themeColor="text1"/>
        </w:rPr>
        <w:t xml:space="preserve"> the additional support which the authority may receive is in the region of £5 million. Whilst this is welcome news this still falls short of the estimated £</w:t>
      </w:r>
      <w:r w:rsidR="00723805">
        <w:rPr>
          <w:color w:val="000000" w:themeColor="text1"/>
        </w:rPr>
        <w:t>1</w:t>
      </w:r>
      <w:r w:rsidR="004363E8" w:rsidRPr="00340C0C">
        <w:rPr>
          <w:color w:val="000000" w:themeColor="text1"/>
        </w:rPr>
        <w:t xml:space="preserve">4 million increased cost that the Council is forecasting for the next </w:t>
      </w:r>
      <w:r w:rsidR="00723805">
        <w:rPr>
          <w:color w:val="000000" w:themeColor="text1"/>
        </w:rPr>
        <w:t>3</w:t>
      </w:r>
      <w:r w:rsidR="004363E8" w:rsidRPr="00340C0C">
        <w:rPr>
          <w:color w:val="000000" w:themeColor="text1"/>
        </w:rPr>
        <w:t xml:space="preserve"> year period. </w:t>
      </w:r>
    </w:p>
    <w:p w14:paraId="6AA8A91E" w14:textId="77777777" w:rsidR="004363E8" w:rsidRDefault="004363E8" w:rsidP="004363E8">
      <w:pPr>
        <w:pStyle w:val="ListParagraph"/>
        <w:rPr>
          <w:color w:val="auto"/>
        </w:rPr>
      </w:pPr>
      <w:r w:rsidRPr="00531943">
        <w:rPr>
          <w:color w:val="auto"/>
        </w:rPr>
        <w:t>Appendix D provides additional information on the Council’s key income streams that have been most affected by COVID-19, and the table below shows a summary of this position.</w:t>
      </w:r>
    </w:p>
    <w:p w14:paraId="467B8D17" w14:textId="15489E72" w:rsidR="00EB2915" w:rsidRPr="00EB2915" w:rsidRDefault="00EB2915" w:rsidP="005F06EA">
      <w:pPr>
        <w:pStyle w:val="ListParagraph"/>
        <w:rPr>
          <w:color w:val="auto"/>
        </w:rPr>
      </w:pPr>
      <w:r w:rsidRPr="00EB2915">
        <w:rPr>
          <w:color w:val="auto"/>
        </w:rPr>
        <w:t>Service based income is at 70% of its expected levels as at the end of quarter 2, this is an improvement on the position at the end of Quarter 1</w:t>
      </w:r>
      <w:r w:rsidRPr="00EB2915">
        <w:rPr>
          <w:color w:val="FF0000"/>
        </w:rPr>
        <w:t xml:space="preserve">. </w:t>
      </w:r>
      <w:r w:rsidRPr="00EB2915">
        <w:rPr>
          <w:color w:val="auto"/>
        </w:rPr>
        <w:t>Council tax and Business Rates are currently at a level of 87% collection which is surprisingly high for this time of the year although there is a sense that this position may worsen.</w:t>
      </w:r>
    </w:p>
    <w:p w14:paraId="190DB0D8" w14:textId="55677867" w:rsidR="00EB2915" w:rsidRDefault="00EB2915" w:rsidP="00EB2915">
      <w:pPr>
        <w:rPr>
          <w:color w:val="auto"/>
        </w:rPr>
      </w:pPr>
      <w:r w:rsidRPr="00A61ECA">
        <w:rPr>
          <w:noProof/>
        </w:rPr>
        <w:drawing>
          <wp:inline distT="0" distB="0" distL="0" distR="0" wp14:anchorId="7D82FB2E" wp14:editId="2F72D941">
            <wp:extent cx="5904230" cy="155130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1551305"/>
                    </a:xfrm>
                    <a:prstGeom prst="rect">
                      <a:avLst/>
                    </a:prstGeom>
                    <a:noFill/>
                    <a:ln>
                      <a:noFill/>
                    </a:ln>
                  </pic:spPr>
                </pic:pic>
              </a:graphicData>
            </a:graphic>
          </wp:inline>
        </w:drawing>
      </w:r>
    </w:p>
    <w:p w14:paraId="3D461F51" w14:textId="77777777" w:rsidR="00EB2915" w:rsidRPr="00EB2915" w:rsidRDefault="00EB2915" w:rsidP="00EB2915">
      <w:pPr>
        <w:rPr>
          <w:color w:val="auto"/>
        </w:rPr>
      </w:pPr>
    </w:p>
    <w:p w14:paraId="12C5C642" w14:textId="78A11334" w:rsidR="00EB2915" w:rsidRDefault="00EB2915" w:rsidP="004363E8">
      <w:pPr>
        <w:pStyle w:val="ListParagraph"/>
        <w:rPr>
          <w:color w:val="auto"/>
        </w:rPr>
      </w:pPr>
      <w:r>
        <w:rPr>
          <w:color w:val="auto"/>
        </w:rPr>
        <w:t>Members should note that the movement in the General Fund Budget since last reported to Cabinet at 30 June 2020 is shown in Appendix A as £5.533 million.  Whilst the variances are explained in detail above the main reasons for this relate to additional grant monies received and expected from Government of £6.203 million offset by an increase in the provision of income losses of £1.2 million and additional ICT costs relating to home working.</w:t>
      </w:r>
    </w:p>
    <w:p w14:paraId="69461641" w14:textId="77777777" w:rsidR="00F27E68" w:rsidRDefault="00F27E68" w:rsidP="00F27E68">
      <w:pPr>
        <w:rPr>
          <w:color w:val="auto"/>
        </w:rPr>
      </w:pPr>
    </w:p>
    <w:p w14:paraId="56607A82" w14:textId="77777777" w:rsidR="00F27E68" w:rsidRPr="00F27E68" w:rsidRDefault="00F27E68" w:rsidP="00F27E68">
      <w:pPr>
        <w:rPr>
          <w:color w:val="auto"/>
        </w:rPr>
      </w:pPr>
    </w:p>
    <w:p w14:paraId="2077B23F" w14:textId="77777777" w:rsidR="008D5B32" w:rsidRPr="00A5751F" w:rsidRDefault="008D5B32" w:rsidP="003976F3">
      <w:pPr>
        <w:pStyle w:val="Heading1"/>
        <w:rPr>
          <w:color w:val="auto"/>
        </w:rPr>
      </w:pPr>
      <w:r w:rsidRPr="00A5751F">
        <w:rPr>
          <w:rFonts w:eastAsia="Calibri"/>
          <w:color w:val="auto"/>
        </w:rPr>
        <w:lastRenderedPageBreak/>
        <w:t>Housing Revenue Account</w:t>
      </w:r>
      <w:r w:rsidR="002B047B" w:rsidRPr="00A5751F">
        <w:rPr>
          <w:rFonts w:eastAsia="Calibri"/>
          <w:color w:val="auto"/>
        </w:rPr>
        <w:t xml:space="preserve"> (“the HRA”)</w:t>
      </w:r>
    </w:p>
    <w:p w14:paraId="2AFDF03B" w14:textId="77777777" w:rsidR="004722D2" w:rsidRPr="00704400" w:rsidRDefault="002F567B" w:rsidP="00013621">
      <w:pPr>
        <w:pStyle w:val="ListParagraph"/>
        <w:rPr>
          <w:color w:val="FF0000"/>
        </w:rPr>
      </w:pPr>
      <w:r w:rsidRPr="00F05959">
        <w:rPr>
          <w:rFonts w:cs="Arial"/>
          <w:color w:val="auto"/>
        </w:rPr>
        <w:t xml:space="preserve">The </w:t>
      </w:r>
      <w:r w:rsidR="002B047B" w:rsidRPr="00F05959">
        <w:rPr>
          <w:rFonts w:cs="Arial"/>
          <w:color w:val="auto"/>
        </w:rPr>
        <w:t xml:space="preserve">HRA </w:t>
      </w:r>
      <w:r w:rsidRPr="00F05959">
        <w:rPr>
          <w:rFonts w:cs="Arial"/>
          <w:color w:val="auto"/>
        </w:rPr>
        <w:t>budgeted surplus agreed by the Council in February 2020 was £0.992 million.  T</w:t>
      </w:r>
      <w:r w:rsidR="00013621">
        <w:rPr>
          <w:rFonts w:cs="Arial"/>
          <w:color w:val="auto"/>
        </w:rPr>
        <w:t>he outturn position is forecast</w:t>
      </w:r>
      <w:r w:rsidRPr="00013621">
        <w:rPr>
          <w:rFonts w:cs="Arial"/>
          <w:color w:val="auto"/>
        </w:rPr>
        <w:t xml:space="preserve"> a</w:t>
      </w:r>
      <w:r w:rsidR="00013621">
        <w:rPr>
          <w:rFonts w:cs="Arial"/>
          <w:color w:val="auto"/>
        </w:rPr>
        <w:t xml:space="preserve"> £0.220 million deficit, an</w:t>
      </w:r>
      <w:r w:rsidRPr="00013621">
        <w:rPr>
          <w:rFonts w:cs="Arial"/>
          <w:color w:val="auto"/>
        </w:rPr>
        <w:t xml:space="preserve"> adverse variance of £</w:t>
      </w:r>
      <w:r w:rsidR="00F05959" w:rsidRPr="00013621">
        <w:rPr>
          <w:rFonts w:cs="Arial"/>
          <w:color w:val="auto"/>
        </w:rPr>
        <w:t>1.222</w:t>
      </w:r>
      <w:r w:rsidR="003D672B">
        <w:rPr>
          <w:rFonts w:cs="Arial"/>
          <w:color w:val="auto"/>
        </w:rPr>
        <w:t xml:space="preserve"> million</w:t>
      </w:r>
      <w:r w:rsidR="00013621">
        <w:rPr>
          <w:rFonts w:cs="Arial"/>
          <w:color w:val="auto"/>
        </w:rPr>
        <w:t xml:space="preserve">. </w:t>
      </w:r>
      <w:r w:rsidR="001B5939" w:rsidRPr="00013621">
        <w:rPr>
          <w:color w:val="auto"/>
        </w:rPr>
        <w:t xml:space="preserve"> </w:t>
      </w:r>
      <w:r w:rsidR="003D672B">
        <w:rPr>
          <w:color w:val="auto"/>
        </w:rPr>
        <w:t xml:space="preserve">Of this variance </w:t>
      </w:r>
      <w:r w:rsidR="00F57C46" w:rsidRPr="00013621">
        <w:rPr>
          <w:color w:val="auto"/>
        </w:rPr>
        <w:t>£1.0</w:t>
      </w:r>
      <w:r w:rsidR="00CA0771" w:rsidRPr="00013621">
        <w:rPr>
          <w:color w:val="auto"/>
        </w:rPr>
        <w:t xml:space="preserve"> million relate</w:t>
      </w:r>
      <w:r w:rsidR="002B047B" w:rsidRPr="00013621">
        <w:rPr>
          <w:color w:val="auto"/>
        </w:rPr>
        <w:t>s</w:t>
      </w:r>
      <w:r w:rsidR="00CA0771" w:rsidRPr="00013621">
        <w:rPr>
          <w:color w:val="auto"/>
        </w:rPr>
        <w:t xml:space="preserve"> to additional costs and loss of income directly relating to </w:t>
      </w:r>
      <w:r w:rsidR="002B047B" w:rsidRPr="00013621">
        <w:rPr>
          <w:color w:val="auto"/>
        </w:rPr>
        <w:t xml:space="preserve">the </w:t>
      </w:r>
      <w:r w:rsidR="00CA0771" w:rsidRPr="00013621">
        <w:rPr>
          <w:color w:val="auto"/>
        </w:rPr>
        <w:t>COVID-19</w:t>
      </w:r>
      <w:r w:rsidR="002B047B" w:rsidRPr="00013621">
        <w:rPr>
          <w:color w:val="auto"/>
        </w:rPr>
        <w:t xml:space="preserve"> pandemic</w:t>
      </w:r>
      <w:r w:rsidR="00F57C46" w:rsidRPr="00013621">
        <w:rPr>
          <w:color w:val="auto"/>
        </w:rPr>
        <w:t xml:space="preserve">.  </w:t>
      </w:r>
      <w:r w:rsidR="00CA0771" w:rsidRPr="00013621">
        <w:rPr>
          <w:color w:val="auto"/>
        </w:rPr>
        <w:t>Explanation</w:t>
      </w:r>
      <w:r w:rsidR="00A5751F" w:rsidRPr="00013621">
        <w:rPr>
          <w:color w:val="auto"/>
        </w:rPr>
        <w:t>s</w:t>
      </w:r>
      <w:r w:rsidR="00CA0771" w:rsidRPr="00013621">
        <w:rPr>
          <w:color w:val="auto"/>
        </w:rPr>
        <w:t xml:space="preserve"> fo</w:t>
      </w:r>
      <w:r w:rsidR="00DA7330" w:rsidRPr="00013621">
        <w:rPr>
          <w:color w:val="auto"/>
        </w:rPr>
        <w:t>r</w:t>
      </w:r>
      <w:r w:rsidR="00A5751F" w:rsidRPr="00013621">
        <w:rPr>
          <w:color w:val="auto"/>
        </w:rPr>
        <w:t xml:space="preserve"> some of the significant</w:t>
      </w:r>
      <w:r w:rsidR="00CA0771" w:rsidRPr="00013621">
        <w:rPr>
          <w:color w:val="auto"/>
        </w:rPr>
        <w:t xml:space="preserve"> </w:t>
      </w:r>
      <w:r w:rsidR="005E0254" w:rsidRPr="00013621">
        <w:rPr>
          <w:color w:val="auto"/>
        </w:rPr>
        <w:t>variations include</w:t>
      </w:r>
      <w:r w:rsidR="008F5712" w:rsidRPr="00013621">
        <w:rPr>
          <w:color w:val="auto"/>
        </w:rPr>
        <w:t>:</w:t>
      </w:r>
      <w:r w:rsidR="004722D2" w:rsidRPr="00013621">
        <w:rPr>
          <w:color w:val="auto"/>
        </w:rPr>
        <w:t xml:space="preserve"> </w:t>
      </w:r>
    </w:p>
    <w:p w14:paraId="2D7F69C5" w14:textId="17D71722" w:rsidR="00C52D3D" w:rsidRPr="002E58B8" w:rsidRDefault="00C52D3D" w:rsidP="00C52D3D">
      <w:pPr>
        <w:pStyle w:val="ListParagraph"/>
        <w:numPr>
          <w:ilvl w:val="1"/>
          <w:numId w:val="48"/>
        </w:numPr>
        <w:contextualSpacing/>
        <w:rPr>
          <w:b/>
          <w:color w:val="FF0000"/>
          <w:sz w:val="22"/>
        </w:rPr>
      </w:pPr>
      <w:r w:rsidRPr="00A5751F">
        <w:rPr>
          <w:color w:val="auto"/>
        </w:rPr>
        <w:t xml:space="preserve">Income - £0.418 million favourable variance </w:t>
      </w:r>
      <w:r w:rsidRPr="00413DB7">
        <w:rPr>
          <w:color w:val="auto"/>
        </w:rPr>
        <w:t>due to reduced number of</w:t>
      </w:r>
      <w:r w:rsidR="00C85750">
        <w:rPr>
          <w:color w:val="auto"/>
        </w:rPr>
        <w:t xml:space="preserve"> Right to Buy (</w:t>
      </w:r>
      <w:r w:rsidRPr="00413DB7">
        <w:rPr>
          <w:color w:val="auto"/>
        </w:rPr>
        <w:t>RTB</w:t>
      </w:r>
      <w:r w:rsidR="00C85750">
        <w:rPr>
          <w:color w:val="auto"/>
        </w:rPr>
        <w:t>)</w:t>
      </w:r>
      <w:r w:rsidRPr="00413DB7">
        <w:rPr>
          <w:color w:val="auto"/>
        </w:rPr>
        <w:t xml:space="preserve"> sales compared to budgeted position and an additional 76 properties that have moved to formulae rent since the budget was set;</w:t>
      </w:r>
    </w:p>
    <w:p w14:paraId="0C096E61" w14:textId="77777777" w:rsidR="00C52D3D" w:rsidRPr="00A5751F" w:rsidRDefault="00C52D3D" w:rsidP="00C52D3D">
      <w:pPr>
        <w:pStyle w:val="ListParagraph"/>
        <w:numPr>
          <w:ilvl w:val="1"/>
          <w:numId w:val="48"/>
        </w:numPr>
        <w:contextualSpacing/>
        <w:rPr>
          <w:b/>
          <w:color w:val="auto"/>
          <w:sz w:val="22"/>
        </w:rPr>
      </w:pPr>
      <w:r w:rsidRPr="00A5751F">
        <w:rPr>
          <w:color w:val="auto"/>
        </w:rPr>
        <w:t>Management &amp; Services - £1.156 million adverse variance due to additional support for the Welfare Reform Team to assist tenants through the difficulties that lockdown has brought about, additional services being provided to support vulnerable tenants and additional costs such as Personal Protective Equipment (PPE);</w:t>
      </w:r>
    </w:p>
    <w:p w14:paraId="543A2B42" w14:textId="77777777" w:rsidR="00C52D3D" w:rsidRPr="00A5751F" w:rsidRDefault="00C52D3D" w:rsidP="00C52D3D">
      <w:pPr>
        <w:pStyle w:val="ListParagraph"/>
        <w:numPr>
          <w:ilvl w:val="1"/>
          <w:numId w:val="48"/>
        </w:numPr>
        <w:contextualSpacing/>
        <w:rPr>
          <w:b/>
          <w:color w:val="auto"/>
          <w:sz w:val="22"/>
        </w:rPr>
      </w:pPr>
      <w:r w:rsidRPr="00A5751F">
        <w:rPr>
          <w:color w:val="auto"/>
        </w:rPr>
        <w:t>Miscellaneous Expenditure (not stock related) - £0.516 million relating to additional expenditure on feasibility studies for housing development work to be carried out in the HRA;</w:t>
      </w:r>
    </w:p>
    <w:p w14:paraId="569A788A" w14:textId="77777777" w:rsidR="00C52D3D" w:rsidRPr="0059039E" w:rsidRDefault="00C52D3D" w:rsidP="00C52D3D">
      <w:pPr>
        <w:pStyle w:val="ListParagraph"/>
        <w:numPr>
          <w:ilvl w:val="1"/>
          <w:numId w:val="48"/>
        </w:numPr>
        <w:contextualSpacing/>
        <w:rPr>
          <w:b/>
          <w:color w:val="auto"/>
          <w:sz w:val="22"/>
        </w:rPr>
      </w:pPr>
      <w:r w:rsidRPr="00F05959">
        <w:rPr>
          <w:color w:val="auto"/>
        </w:rPr>
        <w:t>Bad Debt provision – £0.300 million adverse variance due to rent arrears that are emerging due to the COVID-19 pandemic;</w:t>
      </w:r>
    </w:p>
    <w:p w14:paraId="278B448B" w14:textId="7F0F1FBE" w:rsidR="00704400" w:rsidRDefault="00C52D3D" w:rsidP="00C52D3D">
      <w:pPr>
        <w:pStyle w:val="ListParagraph"/>
        <w:numPr>
          <w:ilvl w:val="1"/>
          <w:numId w:val="48"/>
        </w:numPr>
        <w:contextualSpacing/>
        <w:rPr>
          <w:color w:val="auto"/>
        </w:rPr>
      </w:pPr>
      <w:r w:rsidRPr="0059039E">
        <w:rPr>
          <w:color w:val="auto"/>
        </w:rPr>
        <w:t xml:space="preserve">Reserve Adjustments - £0.572 million favourable which represents a release of approved </w:t>
      </w:r>
      <w:r>
        <w:rPr>
          <w:color w:val="auto"/>
        </w:rPr>
        <w:t>20</w:t>
      </w:r>
      <w:r w:rsidRPr="0059039E">
        <w:rPr>
          <w:color w:val="auto"/>
        </w:rPr>
        <w:t>19/20 carry forwards</w:t>
      </w:r>
    </w:p>
    <w:p w14:paraId="3BA16A4E" w14:textId="77777777" w:rsidR="00C52D3D" w:rsidRPr="00C52D3D" w:rsidRDefault="00C52D3D" w:rsidP="00C52D3D">
      <w:pPr>
        <w:pStyle w:val="ListParagraph"/>
        <w:numPr>
          <w:ilvl w:val="0"/>
          <w:numId w:val="0"/>
        </w:numPr>
        <w:ind w:left="1080"/>
        <w:contextualSpacing/>
        <w:rPr>
          <w:color w:val="auto"/>
        </w:rPr>
      </w:pPr>
    </w:p>
    <w:p w14:paraId="0321211D" w14:textId="43B0ECAE" w:rsidR="00704400" w:rsidRPr="00704400" w:rsidRDefault="00704400" w:rsidP="00013621">
      <w:pPr>
        <w:pStyle w:val="ListParagraph"/>
        <w:rPr>
          <w:color w:val="FF0000"/>
        </w:rPr>
      </w:pPr>
      <w:r>
        <w:rPr>
          <w:rFonts w:cs="Arial"/>
          <w:color w:val="auto"/>
        </w:rPr>
        <w:t>It should also be noted that the movement in the HRA Budget since last reported to Cabinet at 30</w:t>
      </w:r>
      <w:r w:rsidRPr="00704400">
        <w:rPr>
          <w:rFonts w:cs="Arial"/>
          <w:color w:val="auto"/>
          <w:vertAlign w:val="superscript"/>
        </w:rPr>
        <w:t>th</w:t>
      </w:r>
      <w:r>
        <w:rPr>
          <w:rFonts w:cs="Arial"/>
          <w:color w:val="auto"/>
        </w:rPr>
        <w:t xml:space="preserve"> June 2020 is shown in Appendix B as </w:t>
      </w:r>
      <w:r w:rsidRPr="00704400">
        <w:rPr>
          <w:rFonts w:cs="Arial"/>
          <w:color w:val="auto"/>
        </w:rPr>
        <w:t>£1.</w:t>
      </w:r>
      <w:r w:rsidR="00C52D3D">
        <w:rPr>
          <w:color w:val="auto"/>
        </w:rPr>
        <w:t>051</w:t>
      </w:r>
      <w:r w:rsidRPr="00704400">
        <w:rPr>
          <w:color w:val="auto"/>
        </w:rPr>
        <w:t xml:space="preserve"> million</w:t>
      </w:r>
      <w:r w:rsidR="00C52D3D">
        <w:rPr>
          <w:color w:val="auto"/>
        </w:rPr>
        <w:t>.  The variances are explained in detail above but the main reasons for the movement in the last quarter are due t</w:t>
      </w:r>
      <w:r w:rsidR="00C85750">
        <w:rPr>
          <w:color w:val="auto"/>
        </w:rPr>
        <w:t>o reduced RTB</w:t>
      </w:r>
      <w:r w:rsidR="00C52D3D">
        <w:rPr>
          <w:color w:val="auto"/>
        </w:rPr>
        <w:t>s leading to increased rental income</w:t>
      </w:r>
      <w:r w:rsidR="00325939">
        <w:rPr>
          <w:color w:val="auto"/>
        </w:rPr>
        <w:t xml:space="preserve"> and reducing the bad debt provision that was previously increased due to COVID-19.</w:t>
      </w:r>
    </w:p>
    <w:p w14:paraId="2ACEBF3D" w14:textId="77777777" w:rsidR="00D122CB" w:rsidRPr="00F07780" w:rsidRDefault="00D122CB" w:rsidP="00D122CB">
      <w:pPr>
        <w:rPr>
          <w:b/>
          <w:color w:val="auto"/>
        </w:rPr>
      </w:pPr>
      <w:r w:rsidRPr="00F07780">
        <w:rPr>
          <w:b/>
          <w:color w:val="auto"/>
        </w:rPr>
        <w:t>Capital</w:t>
      </w:r>
    </w:p>
    <w:p w14:paraId="588B46D9" w14:textId="77777777" w:rsidR="000863C0" w:rsidRPr="000863C0" w:rsidRDefault="00D92900" w:rsidP="00D92900">
      <w:pPr>
        <w:pStyle w:val="ListParagraph"/>
        <w:rPr>
          <w:color w:val="FF0000"/>
        </w:rPr>
      </w:pPr>
      <w:r w:rsidRPr="00F07780">
        <w:rPr>
          <w:color w:val="auto"/>
        </w:rPr>
        <w:t xml:space="preserve">The budget, as approved </w:t>
      </w:r>
      <w:r w:rsidR="002B047B" w:rsidRPr="00F07780">
        <w:rPr>
          <w:color w:val="auto"/>
        </w:rPr>
        <w:t>by the</w:t>
      </w:r>
      <w:r w:rsidRPr="00F07780">
        <w:rPr>
          <w:color w:val="auto"/>
        </w:rPr>
        <w:t xml:space="preserve"> Council</w:t>
      </w:r>
      <w:r w:rsidR="002B047B" w:rsidRPr="00F07780">
        <w:rPr>
          <w:color w:val="auto"/>
        </w:rPr>
        <w:t xml:space="preserve"> at its meeting</w:t>
      </w:r>
      <w:r w:rsidRPr="00F07780">
        <w:rPr>
          <w:color w:val="auto"/>
        </w:rPr>
        <w:t xml:space="preserve"> in February 20</w:t>
      </w:r>
      <w:r w:rsidR="009A34AD" w:rsidRPr="00F07780">
        <w:rPr>
          <w:color w:val="auto"/>
        </w:rPr>
        <w:t>20</w:t>
      </w:r>
      <w:r w:rsidRPr="00F07780">
        <w:rPr>
          <w:color w:val="auto"/>
        </w:rPr>
        <w:t>, was set at £1</w:t>
      </w:r>
      <w:r w:rsidR="009A34AD" w:rsidRPr="00F07780">
        <w:rPr>
          <w:color w:val="auto"/>
        </w:rPr>
        <w:t>42</w:t>
      </w:r>
      <w:r w:rsidRPr="00F07780">
        <w:rPr>
          <w:color w:val="auto"/>
        </w:rPr>
        <w:t>.</w:t>
      </w:r>
      <w:r w:rsidR="00D459ED" w:rsidRPr="00F07780">
        <w:rPr>
          <w:color w:val="auto"/>
        </w:rPr>
        <w:t>569</w:t>
      </w:r>
      <w:r w:rsidRPr="00F07780">
        <w:rPr>
          <w:color w:val="auto"/>
        </w:rPr>
        <w:t xml:space="preserve"> million.</w:t>
      </w:r>
      <w:r w:rsidR="009A34AD" w:rsidRPr="00F07780">
        <w:rPr>
          <w:color w:val="auto"/>
        </w:rPr>
        <w:t xml:space="preserve"> </w:t>
      </w:r>
      <w:r w:rsidR="00A11896" w:rsidRPr="00F07780">
        <w:rPr>
          <w:color w:val="auto"/>
        </w:rPr>
        <w:t xml:space="preserve">Since that date the budget has been increased by </w:t>
      </w:r>
      <w:r w:rsidR="00476CDE" w:rsidRPr="00F07780">
        <w:rPr>
          <w:color w:val="auto"/>
        </w:rPr>
        <w:t>£</w:t>
      </w:r>
      <w:r w:rsidR="00D459ED" w:rsidRPr="00F07780">
        <w:rPr>
          <w:color w:val="auto"/>
        </w:rPr>
        <w:t>20.745</w:t>
      </w:r>
      <w:r w:rsidR="00476CDE" w:rsidRPr="00F07780">
        <w:rPr>
          <w:color w:val="auto"/>
        </w:rPr>
        <w:t xml:space="preserve"> million</w:t>
      </w:r>
      <w:r w:rsidR="00834AED" w:rsidRPr="00F07780">
        <w:rPr>
          <w:color w:val="auto"/>
        </w:rPr>
        <w:t xml:space="preserve"> </w:t>
      </w:r>
      <w:r w:rsidR="00A11896" w:rsidRPr="00F07780">
        <w:rPr>
          <w:color w:val="auto"/>
        </w:rPr>
        <w:t>to take account of unspent balances rolled forward from 2019-20</w:t>
      </w:r>
      <w:r w:rsidR="00491307" w:rsidRPr="00F07780">
        <w:rPr>
          <w:color w:val="auto"/>
        </w:rPr>
        <w:t>, giving a budget of £163.314</w:t>
      </w:r>
      <w:r w:rsidR="00476CDE" w:rsidRPr="00F07780">
        <w:rPr>
          <w:color w:val="auto"/>
        </w:rPr>
        <w:t xml:space="preserve"> million</w:t>
      </w:r>
      <w:r w:rsidR="00491307" w:rsidRPr="00F07780">
        <w:rPr>
          <w:color w:val="auto"/>
        </w:rPr>
        <w:t xml:space="preserve"> as reported to</w:t>
      </w:r>
      <w:r w:rsidR="002B047B" w:rsidRPr="00F07780">
        <w:rPr>
          <w:color w:val="auto"/>
        </w:rPr>
        <w:t xml:space="preserve"> the</w:t>
      </w:r>
      <w:r w:rsidR="00491307" w:rsidRPr="00F07780">
        <w:rPr>
          <w:color w:val="auto"/>
        </w:rPr>
        <w:t xml:space="preserve"> Cabinet in June </w:t>
      </w:r>
      <w:r w:rsidR="002B047B" w:rsidRPr="00F07780">
        <w:rPr>
          <w:color w:val="auto"/>
        </w:rPr>
        <w:t xml:space="preserve">2020 </w:t>
      </w:r>
      <w:r w:rsidR="00491307" w:rsidRPr="00F07780">
        <w:rPr>
          <w:color w:val="auto"/>
        </w:rPr>
        <w:t>as part of the April update.</w:t>
      </w:r>
      <w:r w:rsidR="00476CDE" w:rsidRPr="00F07780">
        <w:rPr>
          <w:color w:val="auto"/>
        </w:rPr>
        <w:t xml:space="preserve"> </w:t>
      </w:r>
      <w:r w:rsidR="000863C0">
        <w:rPr>
          <w:color w:val="auto"/>
        </w:rPr>
        <w:t xml:space="preserve">The latest budget reported in June was £121.028 million, this movement </w:t>
      </w:r>
      <w:r w:rsidR="003D672B">
        <w:rPr>
          <w:color w:val="auto"/>
        </w:rPr>
        <w:t xml:space="preserve">relating largely </w:t>
      </w:r>
      <w:r w:rsidR="000863C0">
        <w:rPr>
          <w:color w:val="auto"/>
        </w:rPr>
        <w:t xml:space="preserve">to </w:t>
      </w:r>
      <w:r w:rsidR="003D672B">
        <w:rPr>
          <w:color w:val="auto"/>
        </w:rPr>
        <w:t xml:space="preserve">the </w:t>
      </w:r>
      <w:r w:rsidR="000863C0">
        <w:rPr>
          <w:color w:val="auto"/>
        </w:rPr>
        <w:t>paus</w:t>
      </w:r>
      <w:r w:rsidR="003D672B">
        <w:rPr>
          <w:color w:val="auto"/>
        </w:rPr>
        <w:t xml:space="preserve">ing of expenditure in relation to </w:t>
      </w:r>
      <w:r w:rsidR="000863C0">
        <w:rPr>
          <w:color w:val="auto"/>
        </w:rPr>
        <w:t xml:space="preserve">commercial property </w:t>
      </w:r>
      <w:r w:rsidR="003D672B">
        <w:rPr>
          <w:color w:val="auto"/>
        </w:rPr>
        <w:t xml:space="preserve">investments </w:t>
      </w:r>
      <w:r w:rsidR="000863C0">
        <w:rPr>
          <w:color w:val="auto"/>
        </w:rPr>
        <w:t xml:space="preserve">of </w:t>
      </w:r>
      <w:r w:rsidR="003D672B">
        <w:rPr>
          <w:color w:val="auto"/>
        </w:rPr>
        <w:t xml:space="preserve">around </w:t>
      </w:r>
      <w:r w:rsidR="000863C0">
        <w:rPr>
          <w:color w:val="auto"/>
        </w:rPr>
        <w:t>£42.0 million.</w:t>
      </w:r>
    </w:p>
    <w:p w14:paraId="7229DBCE" w14:textId="1830FBB6" w:rsidR="004B23E5" w:rsidRPr="007F4590" w:rsidRDefault="004B23E5" w:rsidP="007F4590">
      <w:pPr>
        <w:pStyle w:val="ListParagraph"/>
        <w:rPr>
          <w:color w:val="auto"/>
        </w:rPr>
      </w:pPr>
      <w:r w:rsidRPr="007F4590">
        <w:rPr>
          <w:color w:val="auto"/>
        </w:rPr>
        <w:t>The latest budget as</w:t>
      </w:r>
      <w:r w:rsidR="00325939">
        <w:rPr>
          <w:color w:val="auto"/>
        </w:rPr>
        <w:t xml:space="preserve"> at end of September is £104.325 million, this has increased</w:t>
      </w:r>
      <w:r w:rsidRPr="007F4590">
        <w:rPr>
          <w:color w:val="auto"/>
        </w:rPr>
        <w:t xml:space="preserve"> by £</w:t>
      </w:r>
      <w:r w:rsidR="00325939">
        <w:rPr>
          <w:color w:val="auto"/>
        </w:rPr>
        <w:t>8.055</w:t>
      </w:r>
      <w:r w:rsidRPr="007F4590">
        <w:rPr>
          <w:color w:val="auto"/>
        </w:rPr>
        <w:t xml:space="preserve"> million from the forecast position reported as at the end of June 2020.  The main movements </w:t>
      </w:r>
      <w:r w:rsidR="007F4590" w:rsidRPr="007F4590">
        <w:rPr>
          <w:color w:val="auto"/>
        </w:rPr>
        <w:t>are an addition of £10 million on HRA developments; £3 million slippage on M</w:t>
      </w:r>
      <w:r w:rsidR="003D672B">
        <w:rPr>
          <w:color w:val="auto"/>
        </w:rPr>
        <w:t xml:space="preserve">otor </w:t>
      </w:r>
      <w:r w:rsidR="007F4590" w:rsidRPr="007F4590">
        <w:rPr>
          <w:color w:val="auto"/>
        </w:rPr>
        <w:t>T</w:t>
      </w:r>
      <w:r w:rsidR="003D672B">
        <w:rPr>
          <w:color w:val="auto"/>
        </w:rPr>
        <w:t xml:space="preserve">ransport </w:t>
      </w:r>
      <w:r w:rsidR="007F4590" w:rsidRPr="007F4590">
        <w:rPr>
          <w:color w:val="auto"/>
        </w:rPr>
        <w:t>vehicle purchases and an additional £0.735k for the new Re</w:t>
      </w:r>
      <w:r w:rsidR="007F4590">
        <w:rPr>
          <w:color w:val="auto"/>
        </w:rPr>
        <w:t xml:space="preserve">venues </w:t>
      </w:r>
      <w:r w:rsidR="007F4590" w:rsidRPr="007F4590">
        <w:rPr>
          <w:color w:val="auto"/>
        </w:rPr>
        <w:t>and Ben</w:t>
      </w:r>
      <w:r w:rsidR="007F4590">
        <w:rPr>
          <w:color w:val="auto"/>
        </w:rPr>
        <w:t>efits</w:t>
      </w:r>
      <w:r w:rsidR="007F4590" w:rsidRPr="007F4590">
        <w:rPr>
          <w:color w:val="auto"/>
        </w:rPr>
        <w:t xml:space="preserve"> replacement system.</w:t>
      </w:r>
      <w:r w:rsidRPr="007F4590">
        <w:rPr>
          <w:color w:val="auto"/>
        </w:rPr>
        <w:t xml:space="preserve"> </w:t>
      </w:r>
    </w:p>
    <w:p w14:paraId="4AE25A08" w14:textId="1E276B65" w:rsidR="009D534C" w:rsidRDefault="003C6658" w:rsidP="007F4590">
      <w:pPr>
        <w:pStyle w:val="ListParagraph"/>
        <w:rPr>
          <w:color w:val="auto"/>
        </w:rPr>
      </w:pPr>
      <w:r>
        <w:rPr>
          <w:color w:val="auto"/>
        </w:rPr>
        <w:t>The current forecast is now £1</w:t>
      </w:r>
      <w:r w:rsidR="00325939">
        <w:rPr>
          <w:color w:val="auto"/>
        </w:rPr>
        <w:t>04</w:t>
      </w:r>
      <w:r>
        <w:rPr>
          <w:color w:val="auto"/>
        </w:rPr>
        <w:t>.3</w:t>
      </w:r>
      <w:r w:rsidR="00325939">
        <w:rPr>
          <w:color w:val="auto"/>
        </w:rPr>
        <w:t>48</w:t>
      </w:r>
      <w:r w:rsidR="00FE7BB6">
        <w:rPr>
          <w:color w:val="auto"/>
        </w:rPr>
        <w:t xml:space="preserve"> million.</w:t>
      </w:r>
      <w:r>
        <w:rPr>
          <w:color w:val="auto"/>
        </w:rPr>
        <w:t xml:space="preserve">  </w:t>
      </w:r>
      <w:r w:rsidR="00013621">
        <w:rPr>
          <w:color w:val="auto"/>
        </w:rPr>
        <w:t>In seeking to address the financial pressure arising from COVID it would seem prudent to un-pause t</w:t>
      </w:r>
      <w:r w:rsidR="00021F42">
        <w:rPr>
          <w:color w:val="auto"/>
        </w:rPr>
        <w:t xml:space="preserve">he £42m </w:t>
      </w:r>
      <w:r w:rsidR="00013621">
        <w:rPr>
          <w:color w:val="auto"/>
        </w:rPr>
        <w:t xml:space="preserve">previously allocated </w:t>
      </w:r>
      <w:r w:rsidR="00021F42">
        <w:rPr>
          <w:color w:val="auto"/>
        </w:rPr>
        <w:t>for commercial property</w:t>
      </w:r>
      <w:r w:rsidR="00013621">
        <w:rPr>
          <w:color w:val="auto"/>
        </w:rPr>
        <w:t xml:space="preserve"> purchases at the time of budget setting in February.</w:t>
      </w:r>
      <w:r w:rsidR="00021F42">
        <w:rPr>
          <w:color w:val="auto"/>
        </w:rPr>
        <w:t xml:space="preserve"> </w:t>
      </w:r>
      <w:r w:rsidR="002D049F">
        <w:rPr>
          <w:color w:val="auto"/>
        </w:rPr>
        <w:t xml:space="preserve">In the consultation budget additional commercial property income is proposed, and an external report has endorsed the view that additional commercial property purchases can generate income and help the </w:t>
      </w:r>
      <w:r w:rsidR="002D049F">
        <w:rPr>
          <w:color w:val="auto"/>
        </w:rPr>
        <w:lastRenderedPageBreak/>
        <w:t xml:space="preserve">City Council rebalance its portfolio, although the nature of those purchases will differ </w:t>
      </w:r>
      <w:r w:rsidR="00A27624">
        <w:rPr>
          <w:color w:val="auto"/>
        </w:rPr>
        <w:t xml:space="preserve">slightly </w:t>
      </w:r>
      <w:r w:rsidR="002D049F">
        <w:rPr>
          <w:color w:val="auto"/>
        </w:rPr>
        <w:t>compared to the time prior to the pandemic.</w:t>
      </w:r>
    </w:p>
    <w:p w14:paraId="68A4C9D5" w14:textId="77777777" w:rsidR="0051315A" w:rsidRDefault="0051315A" w:rsidP="007F4590">
      <w:pPr>
        <w:pStyle w:val="ListParagraph"/>
        <w:rPr>
          <w:color w:val="auto"/>
        </w:rPr>
      </w:pPr>
      <w:r>
        <w:rPr>
          <w:color w:val="auto"/>
        </w:rPr>
        <w:t xml:space="preserve">Project Managers have been asked to provide a risk rating for each of their schemes to </w:t>
      </w:r>
      <w:r w:rsidR="001D072D">
        <w:rPr>
          <w:color w:val="auto"/>
        </w:rPr>
        <w:t xml:space="preserve">identify its deliverability within time and financial spend. </w:t>
      </w:r>
      <w:r w:rsidR="00E01311">
        <w:rPr>
          <w:color w:val="auto"/>
        </w:rPr>
        <w:t xml:space="preserve"> The results are shown in Table 1 below</w:t>
      </w:r>
      <w:r w:rsidR="001D072D">
        <w:rPr>
          <w:color w:val="auto"/>
        </w:rPr>
        <w:t xml:space="preserve"> </w:t>
      </w:r>
    </w:p>
    <w:p w14:paraId="14DFE3EC" w14:textId="77777777" w:rsidR="00E01311" w:rsidRDefault="00E01311" w:rsidP="00E01311">
      <w:pPr>
        <w:pStyle w:val="ListParagraph"/>
        <w:numPr>
          <w:ilvl w:val="0"/>
          <w:numId w:val="0"/>
        </w:numPr>
        <w:ind w:left="426"/>
        <w:rPr>
          <w:color w:val="auto"/>
        </w:rPr>
      </w:pPr>
    </w:p>
    <w:p w14:paraId="6C378BA8" w14:textId="3BA63214" w:rsidR="00E01311" w:rsidRDefault="00F81F92" w:rsidP="00E01311">
      <w:pPr>
        <w:pStyle w:val="ListParagraph"/>
        <w:numPr>
          <w:ilvl w:val="0"/>
          <w:numId w:val="0"/>
        </w:numPr>
        <w:ind w:left="426"/>
        <w:rPr>
          <w:color w:val="auto"/>
        </w:rPr>
      </w:pPr>
      <w:r w:rsidRPr="00F81F92">
        <w:rPr>
          <w:noProof/>
        </w:rPr>
        <w:drawing>
          <wp:inline distT="0" distB="0" distL="0" distR="0" wp14:anchorId="264E42FB" wp14:editId="7F24A3A0">
            <wp:extent cx="4627880" cy="2003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880" cy="2003425"/>
                    </a:xfrm>
                    <a:prstGeom prst="rect">
                      <a:avLst/>
                    </a:prstGeom>
                    <a:noFill/>
                    <a:ln>
                      <a:noFill/>
                    </a:ln>
                  </pic:spPr>
                </pic:pic>
              </a:graphicData>
            </a:graphic>
          </wp:inline>
        </w:drawing>
      </w:r>
    </w:p>
    <w:p w14:paraId="29F58B57" w14:textId="77777777" w:rsidR="006C26D6" w:rsidRDefault="006C26D6" w:rsidP="006C26D6">
      <w:pPr>
        <w:pStyle w:val="ListParagraph"/>
        <w:numPr>
          <w:ilvl w:val="0"/>
          <w:numId w:val="0"/>
        </w:numPr>
        <w:ind w:left="426"/>
        <w:rPr>
          <w:color w:val="auto"/>
        </w:rPr>
      </w:pPr>
    </w:p>
    <w:p w14:paraId="4BEF643E" w14:textId="18FEB875" w:rsidR="00E01311" w:rsidRDefault="00E01311" w:rsidP="006C26D6">
      <w:pPr>
        <w:pStyle w:val="ListParagraph"/>
        <w:numPr>
          <w:ilvl w:val="0"/>
          <w:numId w:val="0"/>
        </w:numPr>
        <w:ind w:left="426"/>
        <w:rPr>
          <w:color w:val="auto"/>
        </w:rPr>
      </w:pPr>
      <w:r>
        <w:rPr>
          <w:color w:val="auto"/>
        </w:rPr>
        <w:t xml:space="preserve">The majority of schemes are on track to be delivered or </w:t>
      </w:r>
      <w:r w:rsidR="00C85750">
        <w:rPr>
          <w:color w:val="auto"/>
        </w:rPr>
        <w:t xml:space="preserve">are </w:t>
      </w:r>
      <w:r>
        <w:rPr>
          <w:color w:val="auto"/>
        </w:rPr>
        <w:t>in accord</w:t>
      </w:r>
      <w:r w:rsidR="00C85750">
        <w:rPr>
          <w:color w:val="auto"/>
        </w:rPr>
        <w:t>ance</w:t>
      </w:r>
      <w:r>
        <w:rPr>
          <w:color w:val="auto"/>
        </w:rPr>
        <w:t xml:space="preserve"> with the current forecast spend profile for 2020-21. Those schemes that are not ‘off target or at risk of delivery’</w:t>
      </w:r>
      <w:r w:rsidR="00325939">
        <w:rPr>
          <w:color w:val="auto"/>
        </w:rPr>
        <w:t xml:space="preserve"> largely relate to</w:t>
      </w:r>
      <w:r w:rsidR="00B04099">
        <w:rPr>
          <w:color w:val="auto"/>
        </w:rPr>
        <w:t>:</w:t>
      </w:r>
    </w:p>
    <w:p w14:paraId="39E57DFC" w14:textId="7EF710D4" w:rsidR="00B04099" w:rsidRDefault="00B04099" w:rsidP="00B04099">
      <w:pPr>
        <w:pStyle w:val="ListParagraph"/>
        <w:numPr>
          <w:ilvl w:val="0"/>
          <w:numId w:val="47"/>
        </w:numPr>
        <w:rPr>
          <w:color w:val="auto"/>
        </w:rPr>
      </w:pPr>
      <w:r>
        <w:rPr>
          <w:color w:val="auto"/>
        </w:rPr>
        <w:t>Schemes that were paused by the Council as part of its budget re-set strategy agreed in August 2020 i.e</w:t>
      </w:r>
      <w:r w:rsidR="00C85750">
        <w:rPr>
          <w:color w:val="auto"/>
        </w:rPr>
        <w:t>.</w:t>
      </w:r>
      <w:r>
        <w:rPr>
          <w:color w:val="auto"/>
        </w:rPr>
        <w:t xml:space="preserve"> </w:t>
      </w:r>
      <w:proofErr w:type="spellStart"/>
      <w:r>
        <w:rPr>
          <w:color w:val="auto"/>
        </w:rPr>
        <w:t>Bullingdon</w:t>
      </w:r>
      <w:proofErr w:type="spellEnd"/>
      <w:r>
        <w:rPr>
          <w:color w:val="auto"/>
        </w:rPr>
        <w:t xml:space="preserve"> Community Centre, East Oxford Community Centre</w:t>
      </w:r>
    </w:p>
    <w:p w14:paraId="341EEFC2" w14:textId="77777777" w:rsidR="00B04099" w:rsidRDefault="00B04099" w:rsidP="00B04099">
      <w:pPr>
        <w:pStyle w:val="ListParagraph"/>
        <w:numPr>
          <w:ilvl w:val="0"/>
          <w:numId w:val="47"/>
        </w:numPr>
        <w:rPr>
          <w:color w:val="auto"/>
        </w:rPr>
      </w:pPr>
      <w:r>
        <w:rPr>
          <w:color w:val="auto"/>
        </w:rPr>
        <w:t xml:space="preserve">Planned maintenance schemes with the HRA where COVID has delayed operatives from ODS entering council houses to undertake the works. </w:t>
      </w:r>
    </w:p>
    <w:p w14:paraId="21E0BCB2" w14:textId="77777777" w:rsidR="00596303" w:rsidRDefault="00596303" w:rsidP="009D534C">
      <w:pPr>
        <w:pStyle w:val="ListParagraph"/>
        <w:numPr>
          <w:ilvl w:val="0"/>
          <w:numId w:val="0"/>
        </w:numPr>
        <w:ind w:left="1146" w:hanging="720"/>
        <w:rPr>
          <w:b/>
          <w:color w:val="auto"/>
        </w:rPr>
      </w:pPr>
    </w:p>
    <w:p w14:paraId="45B3BCA0" w14:textId="77777777" w:rsidR="00476627" w:rsidRPr="008F1998" w:rsidRDefault="00476627" w:rsidP="003976F3">
      <w:pPr>
        <w:pStyle w:val="Heading1"/>
        <w:rPr>
          <w:color w:val="auto"/>
        </w:rPr>
      </w:pPr>
      <w:r w:rsidRPr="008F1998">
        <w:rPr>
          <w:color w:val="auto"/>
        </w:rPr>
        <w:t>Corporate Risk</w:t>
      </w:r>
    </w:p>
    <w:p w14:paraId="1B58164D" w14:textId="77777777" w:rsidR="00FA10A6" w:rsidRPr="008F1998" w:rsidRDefault="00FA10A6" w:rsidP="00802422">
      <w:pPr>
        <w:pStyle w:val="ListParagraph"/>
        <w:rPr>
          <w:color w:val="auto"/>
        </w:rPr>
      </w:pPr>
      <w:r w:rsidRPr="008F1998">
        <w:rPr>
          <w:color w:val="auto"/>
        </w:rPr>
        <w:t xml:space="preserve">There </w:t>
      </w:r>
      <w:r w:rsidR="00952FBA" w:rsidRPr="008F1998">
        <w:rPr>
          <w:color w:val="auto"/>
        </w:rPr>
        <w:t xml:space="preserve">are three red </w:t>
      </w:r>
      <w:r w:rsidR="00A11423" w:rsidRPr="008F1998">
        <w:rPr>
          <w:color w:val="auto"/>
        </w:rPr>
        <w:t>risk</w:t>
      </w:r>
      <w:r w:rsidRPr="008F1998">
        <w:rPr>
          <w:color w:val="auto"/>
        </w:rPr>
        <w:t>s</w:t>
      </w:r>
      <w:r w:rsidR="00D04C25" w:rsidRPr="008F1998">
        <w:rPr>
          <w:color w:val="auto"/>
        </w:rPr>
        <w:t xml:space="preserve"> on the current Corporate Risk R</w:t>
      </w:r>
      <w:r w:rsidR="00A11423" w:rsidRPr="008F1998">
        <w:rPr>
          <w:color w:val="auto"/>
        </w:rPr>
        <w:t xml:space="preserve">egister, which </w:t>
      </w:r>
      <w:r w:rsidR="00952FBA" w:rsidRPr="008F1998">
        <w:rPr>
          <w:color w:val="auto"/>
        </w:rPr>
        <w:t>are</w:t>
      </w:r>
      <w:r w:rsidRPr="008F1998">
        <w:rPr>
          <w:color w:val="auto"/>
        </w:rPr>
        <w:t xml:space="preserve"> as follows:</w:t>
      </w:r>
    </w:p>
    <w:p w14:paraId="1D5C4916" w14:textId="1CF96DB8" w:rsidR="00952FBA" w:rsidRPr="004F5666" w:rsidRDefault="00952FBA" w:rsidP="004F5666">
      <w:pPr>
        <w:numPr>
          <w:ilvl w:val="1"/>
          <w:numId w:val="37"/>
        </w:numPr>
        <w:spacing w:after="0"/>
        <w:ind w:left="1134" w:hanging="425"/>
        <w:rPr>
          <w:rFonts w:cs="Arial"/>
        </w:rPr>
      </w:pPr>
      <w:r w:rsidRPr="004F5666">
        <w:rPr>
          <w:rFonts w:cs="Arial"/>
          <w:b/>
          <w:color w:val="auto"/>
        </w:rPr>
        <w:t>Housing</w:t>
      </w:r>
      <w:r w:rsidRPr="004F5666">
        <w:rPr>
          <w:rFonts w:cs="Arial"/>
          <w:color w:val="auto"/>
        </w:rPr>
        <w:t xml:space="preserve"> – </w:t>
      </w:r>
      <w:r w:rsidR="004F5666" w:rsidRPr="004F5666">
        <w:rPr>
          <w:rFonts w:cs="Arial"/>
          <w:color w:val="auto"/>
        </w:rPr>
        <w:t xml:space="preserve">the </w:t>
      </w:r>
      <w:r w:rsidR="004F5666" w:rsidRPr="007C04F9">
        <w:rPr>
          <w:rFonts w:cs="Arial"/>
        </w:rPr>
        <w:t>Council has key priorities around housing which include ensuring housing delivery and supply for the City</w:t>
      </w:r>
      <w:r w:rsidR="004F5666">
        <w:rPr>
          <w:rFonts w:cs="Arial"/>
        </w:rPr>
        <w:t xml:space="preserve"> of Oxford</w:t>
      </w:r>
      <w:r w:rsidR="004F5666" w:rsidRPr="007C04F9">
        <w:rPr>
          <w:rFonts w:cs="Arial"/>
        </w:rPr>
        <w:t xml:space="preserve"> and</w:t>
      </w:r>
      <w:r w:rsidR="004F5666">
        <w:rPr>
          <w:rFonts w:cs="Arial"/>
        </w:rP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004F5666" w:rsidRPr="002E495F" w:rsidDel="0081475D">
        <w:rPr>
          <w:rFonts w:cs="Arial"/>
        </w:rPr>
        <w:t xml:space="preserve"> </w:t>
      </w:r>
      <w:r w:rsidR="004F5666">
        <w:rPr>
          <w:rFonts w:cs="Arial"/>
        </w:rPr>
        <w:t xml:space="preserve">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 This has become more challenging in the short term </w:t>
      </w:r>
      <w:r w:rsidR="004F5666">
        <w:rPr>
          <w:rFonts w:cs="Arial"/>
        </w:rPr>
        <w:lastRenderedPageBreak/>
        <w:t xml:space="preserve">due to the Covid-19 pandemic which has </w:t>
      </w:r>
      <w:r w:rsidR="00A27624">
        <w:rPr>
          <w:rFonts w:cs="Arial"/>
        </w:rPr>
        <w:t>slowed down</w:t>
      </w:r>
      <w:r w:rsidR="004F5666">
        <w:rPr>
          <w:rFonts w:cs="Arial"/>
        </w:rPr>
        <w:t xml:space="preserve"> delivery in the housing supply.</w:t>
      </w:r>
    </w:p>
    <w:p w14:paraId="786CA4E9" w14:textId="77777777" w:rsidR="00952FBA" w:rsidRPr="004F5666" w:rsidRDefault="00952FBA" w:rsidP="00952FBA">
      <w:pPr>
        <w:ind w:left="1855"/>
        <w:rPr>
          <w:rFonts w:cs="Arial"/>
          <w:color w:val="auto"/>
        </w:rPr>
      </w:pPr>
    </w:p>
    <w:p w14:paraId="7AFF6944" w14:textId="77777777" w:rsidR="00952FBA" w:rsidRPr="002E58B8" w:rsidRDefault="00952FBA" w:rsidP="00952FBA">
      <w:pPr>
        <w:numPr>
          <w:ilvl w:val="1"/>
          <w:numId w:val="37"/>
        </w:numPr>
        <w:spacing w:after="0"/>
        <w:ind w:left="1134" w:hanging="425"/>
        <w:rPr>
          <w:rFonts w:cs="Arial"/>
          <w:color w:val="FF0000"/>
        </w:rPr>
      </w:pPr>
      <w:r w:rsidRPr="004F5666">
        <w:rPr>
          <w:rFonts w:cs="Arial"/>
          <w:b/>
          <w:color w:val="auto"/>
        </w:rPr>
        <w:t>Economic Growth</w:t>
      </w:r>
      <w:r w:rsidRPr="004F5666">
        <w:rPr>
          <w:rFonts w:cs="Arial"/>
          <w:color w:val="auto"/>
        </w:rPr>
        <w:t xml:space="preserve"> – </w:t>
      </w:r>
      <w:r w:rsidR="004F5666">
        <w:rPr>
          <w:rFonts w:cs="Arial"/>
        </w:rPr>
        <w:t>this relates to local, national or international factors adversely affecting the economic growth of the City. The economic impact of Covid-19 is continuing to affect the livelihoods and jobs of thousands of people in Oxford. Social distancing and economic uncertainties affect consumption on the High Street and the viability of some retail, hospitality and catering businesses. The wider economy is not immune with redundancies being announced by larger employers in other sectors as well as damaging impacts to education, transport, and property, creative and cultural sectors. Economic output is 11.7% below the February rate nationally and the remainder may not be recovered quickly. Delivery of a City and County wide Economic Recovery &amp; Resilience Plan will align with the Oxford Economic Strategy and City Centre Vision and Action Plan, with consultation drafts published in the autumn. The latter plans will commence from early 2021. The phased restart which is now complete, will progress to long term recovery and renewal actions over a minimum 3 year period.</w:t>
      </w:r>
    </w:p>
    <w:p w14:paraId="337641D3" w14:textId="77777777" w:rsidR="00952FBA" w:rsidRPr="002E58B8" w:rsidRDefault="00952FBA" w:rsidP="00952FBA">
      <w:pPr>
        <w:pStyle w:val="ListParagraph"/>
        <w:numPr>
          <w:ilvl w:val="0"/>
          <w:numId w:val="0"/>
        </w:numPr>
        <w:ind w:left="426"/>
        <w:rPr>
          <w:rFonts w:cs="Arial"/>
          <w:color w:val="FF0000"/>
        </w:rPr>
      </w:pPr>
    </w:p>
    <w:p w14:paraId="5AC819B0" w14:textId="77777777" w:rsidR="00952FBA" w:rsidRPr="002E58B8" w:rsidRDefault="00952FBA" w:rsidP="00952FBA">
      <w:pPr>
        <w:numPr>
          <w:ilvl w:val="1"/>
          <w:numId w:val="37"/>
        </w:numPr>
        <w:spacing w:after="0"/>
        <w:ind w:left="1134"/>
        <w:rPr>
          <w:rFonts w:cs="Arial"/>
          <w:color w:val="FF0000"/>
        </w:rPr>
      </w:pPr>
      <w:r w:rsidRPr="004F5666">
        <w:rPr>
          <w:rFonts w:cs="Arial"/>
          <w:b/>
          <w:color w:val="auto"/>
        </w:rPr>
        <w:t xml:space="preserve">Balancing &amp; Delivery of the Financial Plan </w:t>
      </w:r>
      <w:r w:rsidRPr="004F5666">
        <w:rPr>
          <w:rFonts w:cs="Arial"/>
          <w:color w:val="auto"/>
        </w:rPr>
        <w:t xml:space="preserve">– </w:t>
      </w:r>
      <w:r w:rsidR="004F5666" w:rsidRPr="00DF5454">
        <w:rPr>
          <w:rFonts w:cs="Arial"/>
        </w:rPr>
        <w:t xml:space="preserve">this risk has become red due to the </w:t>
      </w:r>
      <w:r w:rsidR="004F5666">
        <w:rPr>
          <w:rFonts w:cs="Arial"/>
        </w:rPr>
        <w:t>a</w:t>
      </w:r>
      <w:r w:rsidR="004F5666" w:rsidRPr="00DF5454">
        <w:rPr>
          <w:rFonts w:cs="Arial"/>
        </w:rPr>
        <w:t>dverse financial impacts arising from the covid-19 pa</w:t>
      </w:r>
      <w:r w:rsidR="004F5666">
        <w:rPr>
          <w:rFonts w:cs="Arial"/>
        </w:rPr>
        <w:t>n</w:t>
      </w:r>
      <w:r w:rsidR="004F5666" w:rsidRPr="00DF5454">
        <w:rPr>
          <w:rFonts w:cs="Arial"/>
        </w:rPr>
        <w:t>demic and the economic aftermath</w:t>
      </w:r>
      <w:r w:rsidR="004F5666">
        <w:rPr>
          <w:rFonts w:cs="Arial"/>
        </w:rPr>
        <w:t xml:space="preserve">.  The pandemic and the resulting actions necessary to deal with it has led to far reaching economic impacts.  Experts believe that the economy will take years to recover.  There is therefore </w:t>
      </w:r>
      <w:r w:rsidR="004F5666" w:rsidRPr="009A17A3">
        <w:rPr>
          <w:rFonts w:cs="Arial"/>
        </w:rPr>
        <w:t>considerable financial uncertainty around the current estimates especially around income streams</w:t>
      </w:r>
      <w:r w:rsidR="004F5666">
        <w:rPr>
          <w:rFonts w:cs="Arial"/>
        </w:rPr>
        <w:t xml:space="preserve"> which is compounded by additional expenditure needed to support the community through the crisis.  The short term impact can be mitigated through the use of balances, however these are one-off and a full reset of budgets is needed which will be reported to Cabinet in December 2020.</w:t>
      </w:r>
    </w:p>
    <w:p w14:paraId="498E4D34" w14:textId="77777777" w:rsidR="00FA10A6" w:rsidRPr="002E58B8" w:rsidRDefault="00FA10A6" w:rsidP="00FA10A6">
      <w:pPr>
        <w:pStyle w:val="ListParagraph"/>
        <w:numPr>
          <w:ilvl w:val="0"/>
          <w:numId w:val="0"/>
        </w:numPr>
        <w:ind w:left="1146"/>
        <w:rPr>
          <w:color w:val="FF0000"/>
        </w:rPr>
      </w:pPr>
    </w:p>
    <w:p w14:paraId="73349CAE" w14:textId="77777777" w:rsidR="00952FBA" w:rsidRPr="002E58B8" w:rsidRDefault="00952FBA" w:rsidP="00FA10A6">
      <w:pPr>
        <w:pStyle w:val="ListParagraph"/>
        <w:numPr>
          <w:ilvl w:val="0"/>
          <w:numId w:val="0"/>
        </w:numPr>
        <w:ind w:left="1146"/>
        <w:rPr>
          <w:color w:val="FF0000"/>
        </w:rPr>
      </w:pPr>
    </w:p>
    <w:p w14:paraId="446BA26B" w14:textId="77777777" w:rsidR="008F1998" w:rsidRDefault="00BC254C" w:rsidP="008F1998">
      <w:pPr>
        <w:pStyle w:val="ListParagraph"/>
        <w:rPr>
          <w:color w:val="auto"/>
        </w:rPr>
      </w:pPr>
      <w:r w:rsidRPr="008F1998">
        <w:rPr>
          <w:color w:val="auto"/>
        </w:rPr>
        <w:t>The table below shows the level of Red, Amber and Green current risks over the last 12 months:</w:t>
      </w:r>
    </w:p>
    <w:tbl>
      <w:tblPr>
        <w:tblW w:w="6396" w:type="dxa"/>
        <w:tblInd w:w="720" w:type="dxa"/>
        <w:tblLayout w:type="fixed"/>
        <w:tblLook w:val="04A0" w:firstRow="1" w:lastRow="0" w:firstColumn="1" w:lastColumn="0" w:noHBand="0" w:noVBand="1"/>
      </w:tblPr>
      <w:tblGrid>
        <w:gridCol w:w="1660"/>
        <w:gridCol w:w="1084"/>
        <w:gridCol w:w="1084"/>
        <w:gridCol w:w="1254"/>
        <w:gridCol w:w="1314"/>
      </w:tblGrid>
      <w:tr w:rsidR="008F1998" w:rsidRPr="000A470B" w14:paraId="7D86B823" w14:textId="77777777" w:rsidTr="0092240B">
        <w:trPr>
          <w:trHeight w:val="650"/>
        </w:trPr>
        <w:tc>
          <w:tcPr>
            <w:tcW w:w="16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042A93A" w14:textId="77777777" w:rsidR="008F1998" w:rsidRPr="000A470B" w:rsidRDefault="008F1998" w:rsidP="0092240B">
            <w:pPr>
              <w:rPr>
                <w:rFonts w:cs="Arial"/>
                <w:b/>
                <w:bCs/>
              </w:rPr>
            </w:pPr>
            <w:r w:rsidRPr="000A470B">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63056A" w14:textId="77777777" w:rsidR="008F1998" w:rsidRPr="000A470B" w:rsidRDefault="008F1998" w:rsidP="0092240B">
            <w:pPr>
              <w:jc w:val="right"/>
              <w:rPr>
                <w:rFonts w:cs="Arial"/>
                <w:b/>
                <w:bCs/>
              </w:rPr>
            </w:pPr>
            <w:r>
              <w:rPr>
                <w:rFonts w:cs="Arial"/>
                <w:b/>
                <w:bCs/>
              </w:rPr>
              <w:t>Q3</w:t>
            </w:r>
            <w:r w:rsidRPr="000A470B">
              <w:rPr>
                <w:rFonts w:cs="Arial"/>
                <w:b/>
                <w:bCs/>
              </w:rPr>
              <w:t xml:space="preserve"> 201</w:t>
            </w:r>
            <w:r>
              <w:rPr>
                <w:rFonts w:cs="Arial"/>
                <w:b/>
                <w:bCs/>
              </w:rPr>
              <w:t>9</w:t>
            </w:r>
            <w:r w:rsidRPr="000A470B">
              <w:rPr>
                <w:rFonts w:cs="Arial"/>
                <w:b/>
                <w:bCs/>
              </w:rPr>
              <w:t>/</w:t>
            </w:r>
            <w:r>
              <w:rPr>
                <w:rFonts w:cs="Arial"/>
                <w:b/>
                <w:bCs/>
              </w:rPr>
              <w:t>20</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D38A5A" w14:textId="77777777" w:rsidR="008F1998" w:rsidRPr="000A470B" w:rsidRDefault="008F1998" w:rsidP="0092240B">
            <w:pPr>
              <w:jc w:val="right"/>
              <w:rPr>
                <w:rFonts w:cs="Arial"/>
                <w:b/>
                <w:bCs/>
              </w:rPr>
            </w:pPr>
            <w:r>
              <w:rPr>
                <w:rFonts w:cs="Arial"/>
                <w:b/>
                <w:bCs/>
              </w:rPr>
              <w:t>Q4</w:t>
            </w:r>
            <w:r w:rsidRPr="000A470B">
              <w:rPr>
                <w:rFonts w:cs="Arial"/>
                <w:b/>
                <w:bCs/>
              </w:rPr>
              <w:t xml:space="preserve"> 201</w:t>
            </w:r>
            <w:r>
              <w:rPr>
                <w:rFonts w:cs="Arial"/>
                <w:b/>
                <w:bCs/>
              </w:rPr>
              <w:t>9</w:t>
            </w:r>
            <w:r w:rsidRPr="000A470B">
              <w:rPr>
                <w:rFonts w:cs="Arial"/>
                <w:b/>
                <w:bCs/>
              </w:rPr>
              <w:t>/</w:t>
            </w:r>
            <w:r>
              <w:rPr>
                <w:rFonts w:cs="Arial"/>
                <w:b/>
                <w:bCs/>
              </w:rPr>
              <w:t>20</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6F662D" w14:textId="77777777" w:rsidR="008F1998" w:rsidRDefault="008F1998" w:rsidP="0092240B">
            <w:pPr>
              <w:jc w:val="right"/>
              <w:rPr>
                <w:rFonts w:cs="Arial"/>
                <w:b/>
                <w:bCs/>
              </w:rPr>
            </w:pPr>
            <w:r>
              <w:rPr>
                <w:rFonts w:cs="Arial"/>
                <w:b/>
                <w:bCs/>
              </w:rPr>
              <w:t>Q1</w:t>
            </w:r>
            <w:r w:rsidRPr="000A470B">
              <w:rPr>
                <w:rFonts w:cs="Arial"/>
                <w:b/>
                <w:bCs/>
              </w:rPr>
              <w:t xml:space="preserve"> </w:t>
            </w:r>
          </w:p>
          <w:p w14:paraId="43AFB120" w14:textId="77777777" w:rsidR="008F1998" w:rsidRPr="000A470B" w:rsidRDefault="008F1998" w:rsidP="0092240B">
            <w:pPr>
              <w:jc w:val="right"/>
              <w:rPr>
                <w:rFonts w:cs="Arial"/>
                <w:b/>
                <w:bCs/>
              </w:rPr>
            </w:pPr>
            <w:r w:rsidRPr="000A470B">
              <w:rPr>
                <w:rFonts w:cs="Arial"/>
                <w:b/>
                <w:bCs/>
              </w:rPr>
              <w:t>20</w:t>
            </w:r>
            <w:r>
              <w:rPr>
                <w:rFonts w:cs="Arial"/>
                <w:b/>
                <w:bCs/>
              </w:rPr>
              <w:t>20</w:t>
            </w:r>
            <w:r w:rsidRPr="000A470B">
              <w:rPr>
                <w:rFonts w:cs="Arial"/>
                <w:b/>
                <w:bCs/>
              </w:rPr>
              <w:t>/</w:t>
            </w:r>
            <w:r>
              <w:rPr>
                <w:rFonts w:cs="Arial"/>
                <w:b/>
                <w:bCs/>
              </w:rPr>
              <w:t>21</w:t>
            </w:r>
          </w:p>
        </w:tc>
        <w:tc>
          <w:tcPr>
            <w:tcW w:w="1314" w:type="dxa"/>
            <w:tcBorders>
              <w:top w:val="single" w:sz="8" w:space="0" w:color="000000"/>
              <w:left w:val="single" w:sz="8" w:space="0" w:color="000000"/>
              <w:bottom w:val="single" w:sz="8" w:space="0" w:color="000000"/>
              <w:right w:val="single" w:sz="4" w:space="0" w:color="auto"/>
            </w:tcBorders>
            <w:vAlign w:val="center"/>
          </w:tcPr>
          <w:p w14:paraId="462AFE3A" w14:textId="77777777" w:rsidR="008F1998" w:rsidRDefault="008F1998" w:rsidP="0092240B">
            <w:pPr>
              <w:jc w:val="right"/>
              <w:rPr>
                <w:rFonts w:cs="Arial"/>
                <w:b/>
                <w:bCs/>
              </w:rPr>
            </w:pPr>
            <w:r>
              <w:rPr>
                <w:rFonts w:cs="Arial"/>
                <w:b/>
                <w:bCs/>
              </w:rPr>
              <w:t>Q2</w:t>
            </w:r>
            <w:r w:rsidRPr="000A470B">
              <w:rPr>
                <w:rFonts w:cs="Arial"/>
                <w:b/>
                <w:bCs/>
              </w:rPr>
              <w:t xml:space="preserve"> </w:t>
            </w:r>
          </w:p>
          <w:p w14:paraId="7A67DC98" w14:textId="77777777" w:rsidR="008F1998" w:rsidRDefault="008F1998" w:rsidP="0092240B">
            <w:pPr>
              <w:jc w:val="right"/>
              <w:rPr>
                <w:rFonts w:cs="Arial"/>
                <w:b/>
                <w:bCs/>
              </w:rPr>
            </w:pPr>
            <w:r w:rsidRPr="000A470B">
              <w:rPr>
                <w:rFonts w:cs="Arial"/>
                <w:b/>
                <w:bCs/>
              </w:rPr>
              <w:t>20</w:t>
            </w:r>
            <w:r>
              <w:rPr>
                <w:rFonts w:cs="Arial"/>
                <w:b/>
                <w:bCs/>
              </w:rPr>
              <w:t>20</w:t>
            </w:r>
            <w:r w:rsidRPr="000A470B">
              <w:rPr>
                <w:rFonts w:cs="Arial"/>
                <w:b/>
                <w:bCs/>
              </w:rPr>
              <w:t>/</w:t>
            </w:r>
            <w:r>
              <w:rPr>
                <w:rFonts w:cs="Arial"/>
                <w:b/>
                <w:bCs/>
              </w:rPr>
              <w:t>21</w:t>
            </w:r>
          </w:p>
        </w:tc>
      </w:tr>
      <w:tr w:rsidR="008F1998" w:rsidRPr="000A470B" w14:paraId="64F3C87C" w14:textId="77777777" w:rsidTr="0092240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14:paraId="34531FE9" w14:textId="77777777" w:rsidR="008F1998" w:rsidRPr="000A470B" w:rsidRDefault="008F1998" w:rsidP="0092240B">
            <w:pPr>
              <w:rPr>
                <w:rFonts w:cs="Arial"/>
              </w:rPr>
            </w:pPr>
            <w:r w:rsidRPr="000A470B">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14:paraId="73FBF799" w14:textId="77777777" w:rsidR="008F1998" w:rsidRPr="000A470B" w:rsidRDefault="008F1998" w:rsidP="0092240B">
            <w:pPr>
              <w:jc w:val="right"/>
              <w:rPr>
                <w:rFonts w:cs="Arial"/>
              </w:rPr>
            </w:pPr>
            <w:r>
              <w:rPr>
                <w:rFonts w:cs="Arial"/>
              </w:rPr>
              <w:t>1</w:t>
            </w:r>
          </w:p>
        </w:tc>
        <w:tc>
          <w:tcPr>
            <w:tcW w:w="1084" w:type="dxa"/>
            <w:tcBorders>
              <w:top w:val="nil"/>
              <w:left w:val="nil"/>
              <w:bottom w:val="single" w:sz="8" w:space="0" w:color="000000"/>
              <w:right w:val="single" w:sz="8" w:space="0" w:color="000000"/>
            </w:tcBorders>
            <w:shd w:val="clear" w:color="auto" w:fill="auto"/>
            <w:vAlign w:val="center"/>
            <w:hideMark/>
          </w:tcPr>
          <w:p w14:paraId="24568D23" w14:textId="77777777" w:rsidR="008F1998" w:rsidRPr="000A470B" w:rsidRDefault="008F1998" w:rsidP="0092240B">
            <w:pPr>
              <w:jc w:val="right"/>
              <w:rPr>
                <w:rFonts w:cs="Arial"/>
              </w:rPr>
            </w:pPr>
            <w:r>
              <w:rPr>
                <w:rFonts w:cs="Arial"/>
              </w:rPr>
              <w:t>1</w:t>
            </w:r>
          </w:p>
        </w:tc>
        <w:tc>
          <w:tcPr>
            <w:tcW w:w="1254" w:type="dxa"/>
            <w:tcBorders>
              <w:top w:val="nil"/>
              <w:left w:val="nil"/>
              <w:bottom w:val="single" w:sz="8" w:space="0" w:color="000000"/>
              <w:right w:val="single" w:sz="8" w:space="0" w:color="000000"/>
            </w:tcBorders>
            <w:shd w:val="clear" w:color="auto" w:fill="auto"/>
            <w:vAlign w:val="center"/>
            <w:hideMark/>
          </w:tcPr>
          <w:p w14:paraId="27714890" w14:textId="77777777" w:rsidR="008F1998" w:rsidRPr="000A470B" w:rsidRDefault="008F1998" w:rsidP="0092240B">
            <w:pPr>
              <w:jc w:val="right"/>
              <w:rPr>
                <w:rFonts w:cs="Arial"/>
              </w:rPr>
            </w:pPr>
            <w:r>
              <w:rPr>
                <w:rFonts w:cs="Arial"/>
              </w:rPr>
              <w:t>3</w:t>
            </w:r>
          </w:p>
        </w:tc>
        <w:tc>
          <w:tcPr>
            <w:tcW w:w="1314" w:type="dxa"/>
            <w:tcBorders>
              <w:top w:val="single" w:sz="8" w:space="0" w:color="000000"/>
              <w:left w:val="nil"/>
              <w:bottom w:val="single" w:sz="8" w:space="0" w:color="000000"/>
              <w:right w:val="single" w:sz="4" w:space="0" w:color="auto"/>
            </w:tcBorders>
            <w:vAlign w:val="center"/>
          </w:tcPr>
          <w:p w14:paraId="3FF995C7" w14:textId="77777777" w:rsidR="008F1998" w:rsidRDefault="008F1998" w:rsidP="0092240B">
            <w:pPr>
              <w:jc w:val="right"/>
              <w:rPr>
                <w:rFonts w:cs="Arial"/>
              </w:rPr>
            </w:pPr>
            <w:r>
              <w:rPr>
                <w:rFonts w:cs="Arial"/>
              </w:rPr>
              <w:t>3</w:t>
            </w:r>
          </w:p>
        </w:tc>
      </w:tr>
      <w:tr w:rsidR="008F1998" w:rsidRPr="000A470B" w14:paraId="7D3D7744" w14:textId="77777777" w:rsidTr="0092240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14:paraId="775F2B0A" w14:textId="77777777" w:rsidR="008F1998" w:rsidRPr="000A470B" w:rsidRDefault="008F1998" w:rsidP="0092240B">
            <w:pPr>
              <w:rPr>
                <w:rFonts w:cs="Arial"/>
              </w:rPr>
            </w:pPr>
            <w:r w:rsidRPr="000A470B">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14:paraId="1903115A" w14:textId="77777777" w:rsidR="008F1998" w:rsidRPr="000A470B" w:rsidRDefault="008F1998" w:rsidP="0092240B">
            <w:pPr>
              <w:jc w:val="right"/>
              <w:rPr>
                <w:rFonts w:cs="Arial"/>
              </w:rPr>
            </w:pPr>
            <w:r>
              <w:rPr>
                <w:rFonts w:cs="Arial"/>
              </w:rPr>
              <w:t>9</w:t>
            </w:r>
          </w:p>
        </w:tc>
        <w:tc>
          <w:tcPr>
            <w:tcW w:w="1084" w:type="dxa"/>
            <w:tcBorders>
              <w:top w:val="nil"/>
              <w:left w:val="nil"/>
              <w:bottom w:val="single" w:sz="8" w:space="0" w:color="000000"/>
              <w:right w:val="single" w:sz="8" w:space="0" w:color="000000"/>
            </w:tcBorders>
            <w:shd w:val="clear" w:color="auto" w:fill="auto"/>
            <w:vAlign w:val="center"/>
            <w:hideMark/>
          </w:tcPr>
          <w:p w14:paraId="25BD60C5" w14:textId="77777777" w:rsidR="008F1998" w:rsidRPr="000A470B" w:rsidRDefault="008F1998" w:rsidP="0092240B">
            <w:pPr>
              <w:jc w:val="right"/>
              <w:rPr>
                <w:rFonts w:cs="Arial"/>
              </w:rPr>
            </w:pPr>
            <w:r>
              <w:rPr>
                <w:rFonts w:cs="Arial"/>
              </w:rPr>
              <w:t>10</w:t>
            </w:r>
          </w:p>
        </w:tc>
        <w:tc>
          <w:tcPr>
            <w:tcW w:w="1254" w:type="dxa"/>
            <w:tcBorders>
              <w:top w:val="nil"/>
              <w:left w:val="nil"/>
              <w:bottom w:val="single" w:sz="8" w:space="0" w:color="000000"/>
              <w:right w:val="single" w:sz="8" w:space="0" w:color="000000"/>
            </w:tcBorders>
            <w:shd w:val="clear" w:color="auto" w:fill="auto"/>
            <w:vAlign w:val="center"/>
            <w:hideMark/>
          </w:tcPr>
          <w:p w14:paraId="6D362C72" w14:textId="77777777" w:rsidR="008F1998" w:rsidRPr="000A470B" w:rsidRDefault="008F1998" w:rsidP="0092240B">
            <w:pPr>
              <w:jc w:val="right"/>
              <w:rPr>
                <w:rFonts w:cs="Arial"/>
              </w:rPr>
            </w:pPr>
            <w:r>
              <w:rPr>
                <w:rFonts w:cs="Arial"/>
              </w:rPr>
              <w:t>8</w:t>
            </w:r>
          </w:p>
        </w:tc>
        <w:tc>
          <w:tcPr>
            <w:tcW w:w="1314" w:type="dxa"/>
            <w:tcBorders>
              <w:top w:val="single" w:sz="8" w:space="0" w:color="000000"/>
              <w:left w:val="nil"/>
              <w:bottom w:val="single" w:sz="8" w:space="0" w:color="000000"/>
              <w:right w:val="single" w:sz="4" w:space="0" w:color="auto"/>
            </w:tcBorders>
            <w:vAlign w:val="center"/>
          </w:tcPr>
          <w:p w14:paraId="52540B2C" w14:textId="77777777" w:rsidR="008F1998" w:rsidRDefault="008F1998" w:rsidP="0092240B">
            <w:pPr>
              <w:jc w:val="right"/>
              <w:rPr>
                <w:rFonts w:cs="Arial"/>
              </w:rPr>
            </w:pPr>
            <w:r>
              <w:rPr>
                <w:rFonts w:cs="Arial"/>
              </w:rPr>
              <w:t>9</w:t>
            </w:r>
          </w:p>
        </w:tc>
      </w:tr>
      <w:tr w:rsidR="008F1998" w:rsidRPr="000A470B" w14:paraId="6D160A22" w14:textId="77777777" w:rsidTr="0092240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14:paraId="3A155534" w14:textId="77777777" w:rsidR="008F1998" w:rsidRPr="000A470B" w:rsidRDefault="008F1998" w:rsidP="0092240B">
            <w:pPr>
              <w:rPr>
                <w:rFonts w:cs="Arial"/>
              </w:rPr>
            </w:pPr>
            <w:r w:rsidRPr="000A470B">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14:paraId="5F727C23" w14:textId="77777777" w:rsidR="008F1998" w:rsidRPr="000A470B" w:rsidRDefault="008F1998" w:rsidP="0092240B">
            <w:pPr>
              <w:jc w:val="right"/>
              <w:rPr>
                <w:rFonts w:cs="Arial"/>
              </w:rPr>
            </w:pPr>
            <w:r>
              <w:rPr>
                <w:rFonts w:cs="Arial"/>
              </w:rPr>
              <w:t>2</w:t>
            </w:r>
          </w:p>
        </w:tc>
        <w:tc>
          <w:tcPr>
            <w:tcW w:w="1084" w:type="dxa"/>
            <w:tcBorders>
              <w:top w:val="nil"/>
              <w:left w:val="nil"/>
              <w:bottom w:val="single" w:sz="8" w:space="0" w:color="000000"/>
              <w:right w:val="single" w:sz="8" w:space="0" w:color="000000"/>
            </w:tcBorders>
            <w:shd w:val="clear" w:color="auto" w:fill="auto"/>
            <w:vAlign w:val="center"/>
            <w:hideMark/>
          </w:tcPr>
          <w:p w14:paraId="46113929" w14:textId="77777777" w:rsidR="008F1998" w:rsidRPr="000A470B" w:rsidRDefault="008F1998" w:rsidP="0092240B">
            <w:pPr>
              <w:jc w:val="right"/>
              <w:rPr>
                <w:rFonts w:cs="Arial"/>
              </w:rPr>
            </w:pPr>
            <w:r>
              <w:rPr>
                <w:rFonts w:cs="Arial"/>
              </w:rPr>
              <w:t>1</w:t>
            </w:r>
          </w:p>
        </w:tc>
        <w:tc>
          <w:tcPr>
            <w:tcW w:w="1254" w:type="dxa"/>
            <w:tcBorders>
              <w:top w:val="nil"/>
              <w:left w:val="nil"/>
              <w:bottom w:val="single" w:sz="8" w:space="0" w:color="000000"/>
              <w:right w:val="single" w:sz="8" w:space="0" w:color="000000"/>
            </w:tcBorders>
            <w:shd w:val="clear" w:color="auto" w:fill="auto"/>
            <w:vAlign w:val="center"/>
            <w:hideMark/>
          </w:tcPr>
          <w:p w14:paraId="1DCAA9B2" w14:textId="77777777" w:rsidR="008F1998" w:rsidRPr="000A470B" w:rsidRDefault="008F1998" w:rsidP="0092240B">
            <w:pPr>
              <w:jc w:val="right"/>
              <w:rPr>
                <w:rFonts w:cs="Arial"/>
              </w:rPr>
            </w:pPr>
            <w:r>
              <w:rPr>
                <w:rFonts w:cs="Arial"/>
              </w:rPr>
              <w:t>1</w:t>
            </w:r>
          </w:p>
        </w:tc>
        <w:tc>
          <w:tcPr>
            <w:tcW w:w="1314" w:type="dxa"/>
            <w:tcBorders>
              <w:top w:val="single" w:sz="8" w:space="0" w:color="000000"/>
              <w:left w:val="nil"/>
              <w:bottom w:val="single" w:sz="8" w:space="0" w:color="000000"/>
              <w:right w:val="single" w:sz="4" w:space="0" w:color="auto"/>
            </w:tcBorders>
            <w:vAlign w:val="center"/>
          </w:tcPr>
          <w:p w14:paraId="02DCD64D" w14:textId="77777777" w:rsidR="008F1998" w:rsidRDefault="008F1998" w:rsidP="0092240B">
            <w:pPr>
              <w:jc w:val="right"/>
              <w:rPr>
                <w:rFonts w:cs="Arial"/>
              </w:rPr>
            </w:pPr>
            <w:r>
              <w:rPr>
                <w:rFonts w:cs="Arial"/>
              </w:rPr>
              <w:t>0</w:t>
            </w:r>
          </w:p>
        </w:tc>
      </w:tr>
      <w:tr w:rsidR="008F1998" w:rsidRPr="000A470B" w14:paraId="01C6F591" w14:textId="77777777" w:rsidTr="0092240B">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14:paraId="018FA31C" w14:textId="77777777" w:rsidR="008F1998" w:rsidRPr="000A470B" w:rsidRDefault="008F1998" w:rsidP="0092240B">
            <w:pPr>
              <w:rPr>
                <w:rFonts w:cs="Arial"/>
                <w:b/>
                <w:bCs/>
              </w:rPr>
            </w:pPr>
            <w:r w:rsidRPr="000A470B">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14:paraId="7E710AD0" w14:textId="77777777" w:rsidR="008F1998" w:rsidRPr="000A470B" w:rsidRDefault="008F1998" w:rsidP="0092240B">
            <w:pPr>
              <w:jc w:val="right"/>
              <w:rPr>
                <w:rFonts w:cs="Arial"/>
                <w:b/>
                <w:bCs/>
              </w:rPr>
            </w:pPr>
            <w:r>
              <w:rPr>
                <w:rFonts w:cs="Arial"/>
                <w:b/>
                <w:bCs/>
              </w:rPr>
              <w:t>12</w:t>
            </w:r>
          </w:p>
        </w:tc>
        <w:tc>
          <w:tcPr>
            <w:tcW w:w="1084" w:type="dxa"/>
            <w:tcBorders>
              <w:top w:val="nil"/>
              <w:left w:val="nil"/>
              <w:bottom w:val="single" w:sz="8" w:space="0" w:color="000000"/>
              <w:right w:val="single" w:sz="8" w:space="0" w:color="000000"/>
            </w:tcBorders>
            <w:shd w:val="clear" w:color="000000" w:fill="D9D9D9"/>
            <w:vAlign w:val="center"/>
            <w:hideMark/>
          </w:tcPr>
          <w:p w14:paraId="51B8BCC2" w14:textId="77777777" w:rsidR="008F1998" w:rsidRPr="000A470B" w:rsidRDefault="008F1998" w:rsidP="0092240B">
            <w:pPr>
              <w:jc w:val="right"/>
              <w:rPr>
                <w:rFonts w:cs="Arial"/>
                <w:b/>
                <w:bCs/>
              </w:rPr>
            </w:pPr>
            <w:r>
              <w:rPr>
                <w:rFonts w:cs="Arial"/>
                <w:b/>
                <w:bCs/>
              </w:rPr>
              <w:t>12</w:t>
            </w:r>
          </w:p>
        </w:tc>
        <w:tc>
          <w:tcPr>
            <w:tcW w:w="1254" w:type="dxa"/>
            <w:tcBorders>
              <w:top w:val="nil"/>
              <w:left w:val="nil"/>
              <w:bottom w:val="single" w:sz="8" w:space="0" w:color="000000"/>
              <w:right w:val="single" w:sz="8" w:space="0" w:color="000000"/>
            </w:tcBorders>
            <w:shd w:val="clear" w:color="000000" w:fill="D9D9D9"/>
            <w:vAlign w:val="center"/>
            <w:hideMark/>
          </w:tcPr>
          <w:p w14:paraId="372E32C6" w14:textId="77777777" w:rsidR="008F1998" w:rsidRPr="000A470B" w:rsidRDefault="008F1998" w:rsidP="0092240B">
            <w:pPr>
              <w:jc w:val="right"/>
              <w:rPr>
                <w:rFonts w:cs="Arial"/>
                <w:b/>
                <w:bCs/>
              </w:rPr>
            </w:pPr>
            <w:r>
              <w:rPr>
                <w:rFonts w:cs="Arial"/>
                <w:b/>
                <w:bCs/>
              </w:rPr>
              <w:t>12</w:t>
            </w:r>
          </w:p>
        </w:tc>
        <w:tc>
          <w:tcPr>
            <w:tcW w:w="1314" w:type="dxa"/>
            <w:tcBorders>
              <w:top w:val="single" w:sz="8" w:space="0" w:color="000000"/>
              <w:left w:val="nil"/>
              <w:bottom w:val="single" w:sz="8" w:space="0" w:color="000000"/>
              <w:right w:val="single" w:sz="4" w:space="0" w:color="auto"/>
            </w:tcBorders>
            <w:shd w:val="clear" w:color="000000" w:fill="D9D9D9"/>
            <w:vAlign w:val="center"/>
          </w:tcPr>
          <w:p w14:paraId="025E96AC" w14:textId="77777777" w:rsidR="008F1998" w:rsidRPr="00632FB7" w:rsidRDefault="008F1998" w:rsidP="0092240B">
            <w:pPr>
              <w:jc w:val="right"/>
              <w:rPr>
                <w:rFonts w:cs="Arial"/>
                <w:b/>
                <w:bCs/>
              </w:rPr>
            </w:pPr>
            <w:r w:rsidRPr="00516995">
              <w:rPr>
                <w:rFonts w:cs="Arial"/>
                <w:b/>
              </w:rPr>
              <w:t>12 </w:t>
            </w:r>
          </w:p>
        </w:tc>
      </w:tr>
    </w:tbl>
    <w:p w14:paraId="48C76E2E" w14:textId="77777777" w:rsidR="008F1998" w:rsidRDefault="008F1998" w:rsidP="008F1998">
      <w:pPr>
        <w:ind w:left="426"/>
        <w:rPr>
          <w:color w:val="auto"/>
        </w:rPr>
      </w:pPr>
    </w:p>
    <w:p w14:paraId="25DAB585" w14:textId="77777777" w:rsidR="008F1998" w:rsidRDefault="008F1998" w:rsidP="008F1998">
      <w:pPr>
        <w:rPr>
          <w:color w:val="auto"/>
        </w:rPr>
      </w:pPr>
    </w:p>
    <w:p w14:paraId="52728735" w14:textId="77777777" w:rsidR="008F1998" w:rsidRPr="008F1998" w:rsidRDefault="008F1998" w:rsidP="008F1998">
      <w:pPr>
        <w:rPr>
          <w:color w:val="auto"/>
        </w:rPr>
      </w:pPr>
    </w:p>
    <w:p w14:paraId="0EB9D892" w14:textId="77777777" w:rsidR="00802422" w:rsidRPr="002E58B8" w:rsidRDefault="00BC254C" w:rsidP="00BC73EE">
      <w:pPr>
        <w:pStyle w:val="ListParagraph"/>
        <w:numPr>
          <w:ilvl w:val="0"/>
          <w:numId w:val="0"/>
        </w:numPr>
        <w:ind w:left="426"/>
        <w:rPr>
          <w:color w:val="FF0000"/>
        </w:rPr>
      </w:pPr>
      <w:r w:rsidRPr="002E58B8">
        <w:rPr>
          <w:color w:val="FF0000"/>
        </w:rPr>
        <w:t xml:space="preserve"> </w:t>
      </w:r>
    </w:p>
    <w:p w14:paraId="0AB60420" w14:textId="77777777" w:rsidR="009559D8" w:rsidRPr="008F1998" w:rsidRDefault="009559D8" w:rsidP="003976F3">
      <w:pPr>
        <w:pStyle w:val="Heading1"/>
        <w:rPr>
          <w:color w:val="auto"/>
        </w:rPr>
      </w:pPr>
      <w:r w:rsidRPr="008F1998">
        <w:rPr>
          <w:color w:val="auto"/>
        </w:rPr>
        <w:lastRenderedPageBreak/>
        <w:t>Financial implications</w:t>
      </w:r>
    </w:p>
    <w:p w14:paraId="03C9041D" w14:textId="77777777" w:rsidR="004F260A" w:rsidRPr="008F1998" w:rsidRDefault="004F260A" w:rsidP="00476627">
      <w:pPr>
        <w:pStyle w:val="ListParagraph"/>
        <w:rPr>
          <w:color w:val="auto"/>
        </w:rPr>
      </w:pPr>
      <w:r w:rsidRPr="008F1998">
        <w:rPr>
          <w:color w:val="auto"/>
        </w:rPr>
        <w:t>All financial implications are covered in the body of this report and the Appendices.</w:t>
      </w:r>
    </w:p>
    <w:p w14:paraId="51AF80C2" w14:textId="77777777" w:rsidR="0040736F" w:rsidRPr="008F1998" w:rsidRDefault="00DA614B" w:rsidP="004A6D2F">
      <w:pPr>
        <w:pStyle w:val="Heading1"/>
        <w:rPr>
          <w:color w:val="auto"/>
        </w:rPr>
      </w:pPr>
      <w:r w:rsidRPr="008F1998">
        <w:rPr>
          <w:color w:val="auto"/>
        </w:rPr>
        <w:t>Legal issues</w:t>
      </w:r>
    </w:p>
    <w:p w14:paraId="54EB8378" w14:textId="77777777" w:rsidR="00E87F7A" w:rsidRPr="008F1998" w:rsidRDefault="00256350" w:rsidP="00476627">
      <w:pPr>
        <w:pStyle w:val="ListParagraph"/>
        <w:rPr>
          <w:color w:val="auto"/>
        </w:rPr>
      </w:pPr>
      <w:r w:rsidRPr="008F1998">
        <w:rPr>
          <w:color w:val="auto"/>
        </w:rPr>
        <w:t xml:space="preserve">There are no legal implications </w:t>
      </w:r>
      <w:r w:rsidR="00D04C25" w:rsidRPr="008F1998">
        <w:rPr>
          <w:color w:val="auto"/>
        </w:rPr>
        <w:t xml:space="preserve">arising </w:t>
      </w:r>
      <w:r w:rsidRPr="008F1998">
        <w:rPr>
          <w:color w:val="auto"/>
        </w:rPr>
        <w:t xml:space="preserve">directly </w:t>
      </w:r>
      <w:r w:rsidR="00D04C25" w:rsidRPr="008F1998">
        <w:rPr>
          <w:color w:val="auto"/>
        </w:rPr>
        <w:t>from</w:t>
      </w:r>
      <w:r w:rsidRPr="008F1998">
        <w:rPr>
          <w:color w:val="auto"/>
        </w:rPr>
        <w:t xml:space="preserve"> this report</w:t>
      </w:r>
      <w:r w:rsidR="00E87F7A" w:rsidRPr="008F1998">
        <w:rPr>
          <w:color w:val="auto"/>
        </w:rPr>
        <w:t>.</w:t>
      </w:r>
    </w:p>
    <w:p w14:paraId="6A1F6922" w14:textId="77777777" w:rsidR="002329CF" w:rsidRPr="008F1998" w:rsidRDefault="002329CF" w:rsidP="004A6D2F">
      <w:pPr>
        <w:pStyle w:val="Heading1"/>
        <w:rPr>
          <w:color w:val="auto"/>
        </w:rPr>
      </w:pPr>
      <w:r w:rsidRPr="008F1998">
        <w:rPr>
          <w:color w:val="auto"/>
        </w:rPr>
        <w:t>Level of risk</w:t>
      </w:r>
    </w:p>
    <w:p w14:paraId="521135B0" w14:textId="77777777" w:rsidR="00BC69A4" w:rsidRPr="008F1998" w:rsidRDefault="00256350" w:rsidP="00476627">
      <w:pPr>
        <w:pStyle w:val="ListParagraph"/>
        <w:rPr>
          <w:color w:val="auto"/>
        </w:rPr>
      </w:pPr>
      <w:r w:rsidRPr="008F1998">
        <w:rPr>
          <w:color w:val="auto"/>
        </w:rPr>
        <w:t>All risk implications are covered in the body of this report and the Appendices.</w:t>
      </w:r>
    </w:p>
    <w:p w14:paraId="79456FD5" w14:textId="77777777" w:rsidR="002329CF" w:rsidRPr="008F1998" w:rsidRDefault="002329CF" w:rsidP="0050321C">
      <w:pPr>
        <w:pStyle w:val="Heading1"/>
        <w:rPr>
          <w:color w:val="auto"/>
        </w:rPr>
      </w:pPr>
      <w:r w:rsidRPr="008F1998">
        <w:rPr>
          <w:color w:val="auto"/>
        </w:rPr>
        <w:t xml:space="preserve">Equalities impact </w:t>
      </w:r>
    </w:p>
    <w:p w14:paraId="77E048D8" w14:textId="77777777" w:rsidR="00E206D6" w:rsidRPr="008F1998" w:rsidRDefault="00256350" w:rsidP="00476627">
      <w:pPr>
        <w:pStyle w:val="ListParagraph"/>
        <w:rPr>
          <w:color w:val="auto"/>
        </w:rPr>
      </w:pPr>
      <w:r w:rsidRPr="008F1998">
        <w:rPr>
          <w:color w:val="auto"/>
        </w:rPr>
        <w:t>There are no equalities impacts arising directly from this report.</w:t>
      </w:r>
    </w:p>
    <w:p w14:paraId="72577A15" w14:textId="77777777" w:rsidR="002329CF" w:rsidRPr="002E58B8" w:rsidRDefault="002329CF" w:rsidP="004A6D2F">
      <w:pPr>
        <w:rPr>
          <w:color w:val="FF0000"/>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36"/>
        <w:gridCol w:w="5534"/>
      </w:tblGrid>
      <w:tr w:rsidR="008F1998" w:rsidRPr="008F1998" w14:paraId="147DD93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0F35BF6" w14:textId="77777777" w:rsidR="00E87F7A" w:rsidRPr="008F1998" w:rsidRDefault="00E87F7A" w:rsidP="00A46E98">
            <w:pPr>
              <w:rPr>
                <w:b/>
                <w:color w:val="auto"/>
              </w:rPr>
            </w:pPr>
            <w:r w:rsidRPr="008F1998">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31BA83C" w14:textId="77777777" w:rsidR="00E87F7A" w:rsidRPr="008F1998" w:rsidRDefault="00256350" w:rsidP="00A46E98">
            <w:pPr>
              <w:rPr>
                <w:color w:val="auto"/>
              </w:rPr>
            </w:pPr>
            <w:r w:rsidRPr="008F1998">
              <w:rPr>
                <w:color w:val="auto"/>
              </w:rPr>
              <w:t xml:space="preserve">Nigel Kennedy </w:t>
            </w:r>
          </w:p>
          <w:p w14:paraId="4711E4A8" w14:textId="77777777" w:rsidR="00256350" w:rsidRPr="008F1998" w:rsidRDefault="00256350" w:rsidP="00256350">
            <w:pPr>
              <w:rPr>
                <w:color w:val="auto"/>
              </w:rPr>
            </w:pPr>
            <w:r w:rsidRPr="008F1998">
              <w:rPr>
                <w:color w:val="auto"/>
              </w:rPr>
              <w:t>Helen Bishop</w:t>
            </w:r>
          </w:p>
        </w:tc>
      </w:tr>
      <w:tr w:rsidR="008F1998" w:rsidRPr="008F1998" w14:paraId="1FB135A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B033188" w14:textId="77777777" w:rsidR="00E87F7A" w:rsidRPr="008F1998" w:rsidRDefault="00E87F7A" w:rsidP="00A46E98">
            <w:pPr>
              <w:rPr>
                <w:color w:val="auto"/>
              </w:rPr>
            </w:pPr>
            <w:r w:rsidRPr="008F1998">
              <w:rPr>
                <w:color w:val="auto"/>
              </w:rPr>
              <w:t>Job title</w:t>
            </w:r>
          </w:p>
        </w:tc>
        <w:tc>
          <w:tcPr>
            <w:tcW w:w="4962" w:type="dxa"/>
            <w:tcBorders>
              <w:top w:val="single" w:sz="8" w:space="0" w:color="000000"/>
              <w:left w:val="nil"/>
              <w:bottom w:val="nil"/>
              <w:right w:val="single" w:sz="8" w:space="0" w:color="000000"/>
            </w:tcBorders>
            <w:shd w:val="clear" w:color="auto" w:fill="auto"/>
          </w:tcPr>
          <w:p w14:paraId="048FEF5F" w14:textId="77777777" w:rsidR="00E87F7A" w:rsidRPr="008F1998" w:rsidRDefault="00256350" w:rsidP="00A46E98">
            <w:pPr>
              <w:rPr>
                <w:color w:val="auto"/>
              </w:rPr>
            </w:pPr>
            <w:r w:rsidRPr="008F1998">
              <w:rPr>
                <w:color w:val="auto"/>
              </w:rPr>
              <w:t>Head of Financial Services</w:t>
            </w:r>
          </w:p>
          <w:p w14:paraId="20DED57F" w14:textId="77777777" w:rsidR="00256350" w:rsidRPr="008F1998" w:rsidRDefault="00256350" w:rsidP="00A46E98">
            <w:pPr>
              <w:rPr>
                <w:color w:val="auto"/>
              </w:rPr>
            </w:pPr>
            <w:r w:rsidRPr="008F1998">
              <w:rPr>
                <w:color w:val="auto"/>
              </w:rPr>
              <w:t>Head of Business Improvement</w:t>
            </w:r>
          </w:p>
        </w:tc>
      </w:tr>
      <w:tr w:rsidR="008F1998" w:rsidRPr="008F1998" w14:paraId="11F51678" w14:textId="77777777" w:rsidTr="00A46E98">
        <w:trPr>
          <w:cantSplit/>
          <w:trHeight w:val="396"/>
        </w:trPr>
        <w:tc>
          <w:tcPr>
            <w:tcW w:w="3969" w:type="dxa"/>
            <w:tcBorders>
              <w:top w:val="nil"/>
              <w:left w:val="single" w:sz="8" w:space="0" w:color="000000"/>
              <w:bottom w:val="nil"/>
              <w:right w:val="nil"/>
            </w:tcBorders>
            <w:shd w:val="clear" w:color="auto" w:fill="auto"/>
          </w:tcPr>
          <w:p w14:paraId="6C639983" w14:textId="77777777" w:rsidR="00E87F7A" w:rsidRPr="008F1998" w:rsidRDefault="00E87F7A" w:rsidP="00A46E98">
            <w:pPr>
              <w:rPr>
                <w:color w:val="auto"/>
              </w:rPr>
            </w:pPr>
            <w:r w:rsidRPr="008F1998">
              <w:rPr>
                <w:color w:val="auto"/>
              </w:rPr>
              <w:t>Service area or department</w:t>
            </w:r>
          </w:p>
        </w:tc>
        <w:tc>
          <w:tcPr>
            <w:tcW w:w="4962" w:type="dxa"/>
            <w:tcBorders>
              <w:top w:val="nil"/>
              <w:left w:val="nil"/>
              <w:bottom w:val="nil"/>
              <w:right w:val="single" w:sz="8" w:space="0" w:color="000000"/>
            </w:tcBorders>
            <w:shd w:val="clear" w:color="auto" w:fill="auto"/>
          </w:tcPr>
          <w:p w14:paraId="440514A0" w14:textId="77777777" w:rsidR="00E87F7A" w:rsidRPr="008F1998" w:rsidRDefault="00256350" w:rsidP="00A46E98">
            <w:pPr>
              <w:rPr>
                <w:color w:val="auto"/>
              </w:rPr>
            </w:pPr>
            <w:r w:rsidRPr="008F1998">
              <w:rPr>
                <w:color w:val="auto"/>
              </w:rPr>
              <w:t>Financial Services/Business Improvement</w:t>
            </w:r>
          </w:p>
        </w:tc>
      </w:tr>
      <w:tr w:rsidR="008F1998" w:rsidRPr="008F1998" w14:paraId="3D4E675F" w14:textId="77777777" w:rsidTr="00A46E98">
        <w:trPr>
          <w:cantSplit/>
          <w:trHeight w:val="396"/>
        </w:trPr>
        <w:tc>
          <w:tcPr>
            <w:tcW w:w="3969" w:type="dxa"/>
            <w:tcBorders>
              <w:top w:val="nil"/>
              <w:left w:val="single" w:sz="8" w:space="0" w:color="000000"/>
              <w:bottom w:val="nil"/>
              <w:right w:val="nil"/>
            </w:tcBorders>
            <w:shd w:val="clear" w:color="auto" w:fill="auto"/>
          </w:tcPr>
          <w:p w14:paraId="026BB2FE" w14:textId="77777777" w:rsidR="00E87F7A" w:rsidRPr="008F1998" w:rsidRDefault="00E87F7A" w:rsidP="00A46E98">
            <w:pPr>
              <w:rPr>
                <w:color w:val="auto"/>
              </w:rPr>
            </w:pPr>
            <w:r w:rsidRPr="008F1998">
              <w:rPr>
                <w:color w:val="auto"/>
              </w:rPr>
              <w:t xml:space="preserve">Telephone </w:t>
            </w:r>
          </w:p>
        </w:tc>
        <w:tc>
          <w:tcPr>
            <w:tcW w:w="4962" w:type="dxa"/>
            <w:tcBorders>
              <w:top w:val="nil"/>
              <w:left w:val="nil"/>
              <w:bottom w:val="nil"/>
              <w:right w:val="single" w:sz="8" w:space="0" w:color="000000"/>
            </w:tcBorders>
            <w:shd w:val="clear" w:color="auto" w:fill="auto"/>
          </w:tcPr>
          <w:p w14:paraId="78BE72FE" w14:textId="77777777" w:rsidR="00E87F7A" w:rsidRPr="008F1998" w:rsidRDefault="00256350" w:rsidP="00256350">
            <w:pPr>
              <w:rPr>
                <w:color w:val="auto"/>
              </w:rPr>
            </w:pPr>
            <w:r w:rsidRPr="008F1998">
              <w:rPr>
                <w:color w:val="auto"/>
              </w:rPr>
              <w:t>01865 252708</w:t>
            </w:r>
            <w:r w:rsidR="00E87F7A" w:rsidRPr="008F1998">
              <w:rPr>
                <w:color w:val="auto"/>
              </w:rPr>
              <w:t xml:space="preserve">  </w:t>
            </w:r>
          </w:p>
        </w:tc>
      </w:tr>
      <w:tr w:rsidR="00534A13" w:rsidRPr="008F1998" w14:paraId="66A6729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3E0840D" w14:textId="77777777" w:rsidR="00E87F7A" w:rsidRPr="008F1998" w:rsidRDefault="00E87F7A" w:rsidP="00A46E98">
            <w:pPr>
              <w:rPr>
                <w:color w:val="auto"/>
              </w:rPr>
            </w:pPr>
            <w:r w:rsidRPr="008F1998">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736A6B6" w14:textId="77777777" w:rsidR="00E87F7A" w:rsidRPr="008F1998" w:rsidRDefault="00256350" w:rsidP="00A46E98">
            <w:pPr>
              <w:rPr>
                <w:rStyle w:val="Hyperlink"/>
                <w:color w:val="auto"/>
              </w:rPr>
            </w:pPr>
            <w:r w:rsidRPr="008F1998">
              <w:rPr>
                <w:rStyle w:val="Hyperlink"/>
                <w:color w:val="auto"/>
              </w:rPr>
              <w:t>nkennedy@oxford.gov.uk/hbishop@oxford.gov.uk</w:t>
            </w:r>
          </w:p>
        </w:tc>
      </w:tr>
    </w:tbl>
    <w:p w14:paraId="1A8759A9" w14:textId="77777777" w:rsidR="00433B96" w:rsidRPr="008F1998"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8F1998" w:rsidRPr="008F1998" w14:paraId="46BF35F5"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55876875" w14:textId="77777777" w:rsidR="0093067A" w:rsidRPr="008F1998" w:rsidRDefault="00182B81" w:rsidP="00F41AC1">
            <w:pPr>
              <w:rPr>
                <w:color w:val="auto"/>
              </w:rPr>
            </w:pPr>
            <w:r w:rsidRPr="008F1998">
              <w:rPr>
                <w:rStyle w:val="Firstpagetablebold"/>
                <w:color w:val="auto"/>
              </w:rPr>
              <w:t xml:space="preserve">Background Papers: </w:t>
            </w:r>
            <w:r w:rsidRPr="008F1998">
              <w:rPr>
                <w:rStyle w:val="Firstpagetablebold"/>
                <w:b w:val="0"/>
                <w:color w:val="auto"/>
              </w:rPr>
              <w:t>None</w:t>
            </w:r>
          </w:p>
        </w:tc>
      </w:tr>
      <w:tr w:rsidR="00BC73EE" w:rsidRPr="008F1998" w14:paraId="16BA5EC0" w14:textId="77777777" w:rsidTr="00A46E98">
        <w:tc>
          <w:tcPr>
            <w:tcW w:w="567" w:type="dxa"/>
            <w:tcBorders>
              <w:top w:val="nil"/>
              <w:left w:val="single" w:sz="8" w:space="0" w:color="000000"/>
              <w:bottom w:val="single" w:sz="8" w:space="0" w:color="000000"/>
              <w:right w:val="nil"/>
            </w:tcBorders>
            <w:shd w:val="clear" w:color="auto" w:fill="auto"/>
          </w:tcPr>
          <w:p w14:paraId="3085CF99" w14:textId="77777777" w:rsidR="0093067A" w:rsidRPr="008F1998" w:rsidRDefault="0093067A" w:rsidP="00F41AC1">
            <w:pPr>
              <w:rPr>
                <w:color w:val="auto"/>
              </w:rPr>
            </w:pPr>
          </w:p>
        </w:tc>
        <w:tc>
          <w:tcPr>
            <w:tcW w:w="8364" w:type="dxa"/>
            <w:tcBorders>
              <w:top w:val="nil"/>
              <w:left w:val="nil"/>
              <w:bottom w:val="single" w:sz="8" w:space="0" w:color="000000"/>
              <w:right w:val="single" w:sz="8" w:space="0" w:color="000000"/>
            </w:tcBorders>
          </w:tcPr>
          <w:p w14:paraId="1879E106" w14:textId="77777777" w:rsidR="0093067A" w:rsidRPr="008F1998" w:rsidRDefault="0093067A" w:rsidP="00F41AC1">
            <w:pPr>
              <w:rPr>
                <w:color w:val="auto"/>
              </w:rPr>
            </w:pPr>
          </w:p>
        </w:tc>
      </w:tr>
    </w:tbl>
    <w:p w14:paraId="06D1AEBD" w14:textId="77777777" w:rsidR="00CE4C87" w:rsidRPr="008F1998" w:rsidRDefault="00CE4C87" w:rsidP="0093067A">
      <w:pPr>
        <w:rPr>
          <w:color w:val="auto"/>
        </w:rPr>
      </w:pPr>
    </w:p>
    <w:p w14:paraId="50CFE3BB" w14:textId="77777777" w:rsidR="00BC73EE" w:rsidRPr="008F1998" w:rsidRDefault="00BC73EE" w:rsidP="008F1998">
      <w:pPr>
        <w:rPr>
          <w:color w:val="auto"/>
          <w:sz w:val="2"/>
          <w:szCs w:val="2"/>
        </w:rPr>
      </w:pPr>
    </w:p>
    <w:sectPr w:rsidR="00BC73EE" w:rsidRPr="008F1998" w:rsidSect="008F1998">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3E1E" w14:textId="77777777" w:rsidR="00973C05" w:rsidRDefault="00973C05" w:rsidP="004A6D2F">
      <w:r>
        <w:separator/>
      </w:r>
    </w:p>
  </w:endnote>
  <w:endnote w:type="continuationSeparator" w:id="0">
    <w:p w14:paraId="2451DAC6" w14:textId="77777777" w:rsidR="00973C05" w:rsidRDefault="00973C0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116F" w14:textId="77777777" w:rsidR="004A3EAE" w:rsidRDefault="004A3EAE" w:rsidP="004A6D2F">
    <w:pPr>
      <w:pStyle w:val="Footer"/>
    </w:pPr>
    <w:r>
      <w:t>Do not use a footer or page numbers.</w:t>
    </w:r>
  </w:p>
  <w:p w14:paraId="2F1F7996" w14:textId="77777777" w:rsidR="004A3EAE" w:rsidRDefault="004A3EAE" w:rsidP="004A6D2F">
    <w:pPr>
      <w:pStyle w:val="Footer"/>
    </w:pPr>
  </w:p>
  <w:p w14:paraId="65883F8D"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617F"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CC38" w14:textId="77777777" w:rsidR="00973C05" w:rsidRDefault="00973C05" w:rsidP="004A6D2F">
      <w:r>
        <w:separator/>
      </w:r>
    </w:p>
  </w:footnote>
  <w:footnote w:type="continuationSeparator" w:id="0">
    <w:p w14:paraId="3ABDDF9E" w14:textId="77777777" w:rsidR="00973C05" w:rsidRDefault="00973C0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E6D8" w14:textId="77777777" w:rsidR="004A3EAE" w:rsidRDefault="00896DE7" w:rsidP="00D5547E">
    <w:pPr>
      <w:pStyle w:val="Header"/>
      <w:jc w:val="right"/>
    </w:pPr>
    <w:r w:rsidRPr="00612730">
      <w:rPr>
        <w:noProof/>
      </w:rPr>
      <w:drawing>
        <wp:inline distT="0" distB="0" distL="0" distR="0" wp14:anchorId="5C8EA475" wp14:editId="6748162F">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E7055"/>
    <w:multiLevelType w:val="hybridMultilevel"/>
    <w:tmpl w:val="EEEA9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97DE3"/>
    <w:multiLevelType w:val="hybridMultilevel"/>
    <w:tmpl w:val="CCE3C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FB9080"/>
    <w:multiLevelType w:val="hybridMultilevel"/>
    <w:tmpl w:val="93D2E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80853"/>
    <w:multiLevelType w:val="hybridMultilevel"/>
    <w:tmpl w:val="D18C87CC"/>
    <w:lvl w:ilvl="0" w:tplc="0809000F">
      <w:start w:val="1"/>
      <w:numFmt w:val="decimal"/>
      <w:lvlText w:val="%1."/>
      <w:lvlJc w:val="left"/>
      <w:pPr>
        <w:ind w:left="1495" w:hanging="360"/>
      </w:pPr>
      <w:rPr>
        <w:rFonts w:hint="default"/>
        <w:b w:val="0"/>
      </w:rPr>
    </w:lvl>
    <w:lvl w:ilvl="1" w:tplc="197E5812">
      <w:start w:val="1"/>
      <w:numFmt w:val="bullet"/>
      <w:lvlText w:val=""/>
      <w:lvlJc w:val="left"/>
      <w:pPr>
        <w:ind w:left="928" w:hanging="360"/>
      </w:pPr>
      <w:rPr>
        <w:rFonts w:ascii="Symbol" w:hAnsi="Symbol" w:hint="default"/>
        <w:color w:val="auto"/>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02413042"/>
    <w:multiLevelType w:val="multilevel"/>
    <w:tmpl w:val="73C2594E"/>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2790153"/>
    <w:multiLevelType w:val="hybridMultilevel"/>
    <w:tmpl w:val="1F066B6A"/>
    <w:lvl w:ilvl="0" w:tplc="24FADD6C">
      <w:start w:val="1"/>
      <w:numFmt w:val="decimal"/>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8" w15:restartNumberingAfterBreak="0">
    <w:nsid w:val="0C166816"/>
    <w:multiLevelType w:val="hybridMultilevel"/>
    <w:tmpl w:val="CD968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725A3E"/>
    <w:multiLevelType w:val="hybridMultilevel"/>
    <w:tmpl w:val="F7E94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2BAB67"/>
    <w:multiLevelType w:val="hybridMultilevel"/>
    <w:tmpl w:val="F25B9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1FB2225"/>
    <w:multiLevelType w:val="multilevel"/>
    <w:tmpl w:val="53AC8644"/>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28" w15:restartNumberingAfterBreak="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1" w15:restartNumberingAfterBreak="0">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2" w15:restartNumberingAfterBreak="0">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FDA0AF1"/>
    <w:multiLevelType w:val="hybridMultilevel"/>
    <w:tmpl w:val="EC1458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DB7CC7"/>
    <w:multiLevelType w:val="multilevel"/>
    <w:tmpl w:val="73C2594E"/>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0" w15:restartNumberingAfterBreak="0">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55217F"/>
    <w:multiLevelType w:val="hybridMultilevel"/>
    <w:tmpl w:val="5C8AAA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7" w15:restartNumberingAfterBreak="0">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8" w15:restartNumberingAfterBreak="0">
    <w:nsid w:val="798365C6"/>
    <w:multiLevelType w:val="multilevel"/>
    <w:tmpl w:val="E67CE66C"/>
    <w:numStyleLink w:val="StyleNumberedLeft0cmHanging075cm"/>
  </w:abstractNum>
  <w:num w:numId="1">
    <w:abstractNumId w:val="8"/>
  </w:num>
  <w:num w:numId="2">
    <w:abstractNumId w:val="48"/>
  </w:num>
  <w:num w:numId="3">
    <w:abstractNumId w:val="22"/>
  </w:num>
  <w:num w:numId="4">
    <w:abstractNumId w:val="9"/>
  </w:num>
  <w:num w:numId="5">
    <w:abstractNumId w:val="43"/>
  </w:num>
  <w:num w:numId="6">
    <w:abstractNumId w:val="40"/>
  </w:num>
  <w:num w:numId="7">
    <w:abstractNumId w:val="39"/>
  </w:num>
  <w:num w:numId="8">
    <w:abstractNumId w:val="23"/>
  </w:num>
  <w:num w:numId="9">
    <w:abstractNumId w:val="36"/>
  </w:num>
  <w:num w:numId="10">
    <w:abstractNumId w:val="14"/>
  </w:num>
  <w:num w:numId="11">
    <w:abstractNumId w:val="6"/>
  </w:num>
  <w:num w:numId="12">
    <w:abstractNumId w:val="16"/>
  </w:num>
  <w:num w:numId="13">
    <w:abstractNumId w:val="12"/>
  </w:num>
  <w:num w:numId="14">
    <w:abstractNumId w:val="33"/>
  </w:num>
  <w:num w:numId="15">
    <w:abstractNumId w:val="7"/>
  </w:num>
  <w:num w:numId="16">
    <w:abstractNumId w:val="45"/>
  </w:num>
  <w:num w:numId="17">
    <w:abstractNumId w:val="19"/>
  </w:num>
  <w:num w:numId="18">
    <w:abstractNumId w:val="38"/>
  </w:num>
  <w:num w:numId="19">
    <w:abstractNumId w:val="47"/>
  </w:num>
  <w:num w:numId="20">
    <w:abstractNumId w:val="28"/>
  </w:num>
  <w:num w:numId="21">
    <w:abstractNumId w:val="29"/>
  </w:num>
  <w:num w:numId="22">
    <w:abstractNumId w:val="20"/>
  </w:num>
  <w:num w:numId="23">
    <w:abstractNumId w:val="25"/>
  </w:num>
  <w:num w:numId="24">
    <w:abstractNumId w:val="13"/>
  </w:num>
  <w:num w:numId="25">
    <w:abstractNumId w:val="41"/>
  </w:num>
  <w:num w:numId="26">
    <w:abstractNumId w:val="34"/>
  </w:num>
  <w:num w:numId="27">
    <w:abstractNumId w:val="3"/>
  </w:num>
  <w:num w:numId="28">
    <w:abstractNumId w:val="46"/>
  </w:num>
  <w:num w:numId="29">
    <w:abstractNumId w:val="17"/>
  </w:num>
  <w:num w:numId="30">
    <w:abstractNumId w:val="11"/>
  </w:num>
  <w:num w:numId="31">
    <w:abstractNumId w:val="42"/>
  </w:num>
  <w:num w:numId="32">
    <w:abstractNumId w:val="31"/>
  </w:num>
  <w:num w:numId="33">
    <w:abstractNumId w:val="30"/>
  </w:num>
  <w:num w:numId="34">
    <w:abstractNumId w:val="24"/>
  </w:num>
  <w:num w:numId="35">
    <w:abstractNumId w:val="32"/>
  </w:num>
  <w:num w:numId="36">
    <w:abstractNumId w:val="10"/>
  </w:num>
  <w:num w:numId="37">
    <w:abstractNumId w:val="4"/>
  </w:num>
  <w:num w:numId="38">
    <w:abstractNumId w:val="35"/>
  </w:num>
  <w:num w:numId="39">
    <w:abstractNumId w:val="15"/>
  </w:num>
  <w:num w:numId="40">
    <w:abstractNumId w:val="27"/>
  </w:num>
  <w:num w:numId="41">
    <w:abstractNumId w:val="18"/>
  </w:num>
  <w:num w:numId="42">
    <w:abstractNumId w:val="2"/>
  </w:num>
  <w:num w:numId="43">
    <w:abstractNumId w:val="21"/>
  </w:num>
  <w:num w:numId="44">
    <w:abstractNumId w:val="0"/>
  </w:num>
  <w:num w:numId="45">
    <w:abstractNumId w:val="26"/>
  </w:num>
  <w:num w:numId="46">
    <w:abstractNumId w:val="1"/>
  </w:num>
  <w:num w:numId="47">
    <w:abstractNumId w:val="44"/>
  </w:num>
  <w:num w:numId="48">
    <w:abstractNumId w:val="37"/>
  </w:num>
  <w:num w:numId="49">
    <w:abstractNumId w:val="5"/>
  </w:num>
  <w:num w:numId="50">
    <w:abstractNumId w:val="4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544"/>
    <w:rsid w:val="000053EC"/>
    <w:rsid w:val="00007E2F"/>
    <w:rsid w:val="00010358"/>
    <w:rsid w:val="00010C09"/>
    <w:rsid w:val="000117D4"/>
    <w:rsid w:val="000119EC"/>
    <w:rsid w:val="00011B7A"/>
    <w:rsid w:val="00013621"/>
    <w:rsid w:val="0001741B"/>
    <w:rsid w:val="00021313"/>
    <w:rsid w:val="00021A50"/>
    <w:rsid w:val="00021F42"/>
    <w:rsid w:val="00027A19"/>
    <w:rsid w:val="000314D7"/>
    <w:rsid w:val="00034DFA"/>
    <w:rsid w:val="00041D28"/>
    <w:rsid w:val="00044A94"/>
    <w:rsid w:val="00045CFD"/>
    <w:rsid w:val="00045F8B"/>
    <w:rsid w:val="00046505"/>
    <w:rsid w:val="00046D2B"/>
    <w:rsid w:val="00046D61"/>
    <w:rsid w:val="00047B56"/>
    <w:rsid w:val="00050DA8"/>
    <w:rsid w:val="00053295"/>
    <w:rsid w:val="0005443F"/>
    <w:rsid w:val="0005594D"/>
    <w:rsid w:val="00056263"/>
    <w:rsid w:val="00056FA2"/>
    <w:rsid w:val="00057678"/>
    <w:rsid w:val="0006399D"/>
    <w:rsid w:val="00064D8A"/>
    <w:rsid w:val="00064F82"/>
    <w:rsid w:val="00066510"/>
    <w:rsid w:val="00067108"/>
    <w:rsid w:val="00070E1A"/>
    <w:rsid w:val="000749E8"/>
    <w:rsid w:val="000753A8"/>
    <w:rsid w:val="00077523"/>
    <w:rsid w:val="000776FF"/>
    <w:rsid w:val="00082AD8"/>
    <w:rsid w:val="00085B72"/>
    <w:rsid w:val="000863C0"/>
    <w:rsid w:val="00087BC5"/>
    <w:rsid w:val="000917F9"/>
    <w:rsid w:val="00092B20"/>
    <w:rsid w:val="00093353"/>
    <w:rsid w:val="00096070"/>
    <w:rsid w:val="000963D9"/>
    <w:rsid w:val="000A47AE"/>
    <w:rsid w:val="000B6C3C"/>
    <w:rsid w:val="000B76DA"/>
    <w:rsid w:val="000C089F"/>
    <w:rsid w:val="000C1A15"/>
    <w:rsid w:val="000C2A5B"/>
    <w:rsid w:val="000C3928"/>
    <w:rsid w:val="000C3D16"/>
    <w:rsid w:val="000C4C93"/>
    <w:rsid w:val="000C5E8E"/>
    <w:rsid w:val="000C5F5D"/>
    <w:rsid w:val="000C6280"/>
    <w:rsid w:val="000D4262"/>
    <w:rsid w:val="000D5378"/>
    <w:rsid w:val="000E0057"/>
    <w:rsid w:val="000F1081"/>
    <w:rsid w:val="000F2A7A"/>
    <w:rsid w:val="000F44CC"/>
    <w:rsid w:val="000F4751"/>
    <w:rsid w:val="001029E3"/>
    <w:rsid w:val="0010524C"/>
    <w:rsid w:val="00107DFB"/>
    <w:rsid w:val="00110F60"/>
    <w:rsid w:val="00111DE7"/>
    <w:rsid w:val="00111FB1"/>
    <w:rsid w:val="001121C1"/>
    <w:rsid w:val="0011263A"/>
    <w:rsid w:val="00113418"/>
    <w:rsid w:val="00114F20"/>
    <w:rsid w:val="00117FD9"/>
    <w:rsid w:val="00121043"/>
    <w:rsid w:val="0013140F"/>
    <w:rsid w:val="00132A6F"/>
    <w:rsid w:val="00133FCB"/>
    <w:rsid w:val="0013447C"/>
    <w:rsid w:val="001356F1"/>
    <w:rsid w:val="00135C15"/>
    <w:rsid w:val="00136994"/>
    <w:rsid w:val="00136EB8"/>
    <w:rsid w:val="00136FB7"/>
    <w:rsid w:val="0014128E"/>
    <w:rsid w:val="00151888"/>
    <w:rsid w:val="00151E78"/>
    <w:rsid w:val="001531B9"/>
    <w:rsid w:val="00155948"/>
    <w:rsid w:val="001623E0"/>
    <w:rsid w:val="00162B63"/>
    <w:rsid w:val="00162C5E"/>
    <w:rsid w:val="001639AD"/>
    <w:rsid w:val="00165502"/>
    <w:rsid w:val="00166033"/>
    <w:rsid w:val="00166E6A"/>
    <w:rsid w:val="0017000C"/>
    <w:rsid w:val="0017015E"/>
    <w:rsid w:val="00170A2D"/>
    <w:rsid w:val="00175CC5"/>
    <w:rsid w:val="00177372"/>
    <w:rsid w:val="00177F27"/>
    <w:rsid w:val="001808BC"/>
    <w:rsid w:val="001826BE"/>
    <w:rsid w:val="00182B81"/>
    <w:rsid w:val="00185A05"/>
    <w:rsid w:val="0018619D"/>
    <w:rsid w:val="0018749F"/>
    <w:rsid w:val="00190014"/>
    <w:rsid w:val="001944A2"/>
    <w:rsid w:val="0019563E"/>
    <w:rsid w:val="00195CA7"/>
    <w:rsid w:val="001965CB"/>
    <w:rsid w:val="00197786"/>
    <w:rsid w:val="00197C34"/>
    <w:rsid w:val="001A011E"/>
    <w:rsid w:val="001A066A"/>
    <w:rsid w:val="001A13E6"/>
    <w:rsid w:val="001A4B55"/>
    <w:rsid w:val="001A5731"/>
    <w:rsid w:val="001A60BF"/>
    <w:rsid w:val="001A6EE3"/>
    <w:rsid w:val="001A70AB"/>
    <w:rsid w:val="001B0AD1"/>
    <w:rsid w:val="001B2E71"/>
    <w:rsid w:val="001B42C3"/>
    <w:rsid w:val="001B5939"/>
    <w:rsid w:val="001C1532"/>
    <w:rsid w:val="001C21C2"/>
    <w:rsid w:val="001C391C"/>
    <w:rsid w:val="001C3F04"/>
    <w:rsid w:val="001C5D5E"/>
    <w:rsid w:val="001D072D"/>
    <w:rsid w:val="001D1B96"/>
    <w:rsid w:val="001D3606"/>
    <w:rsid w:val="001D678D"/>
    <w:rsid w:val="001D6B95"/>
    <w:rsid w:val="001E03F8"/>
    <w:rsid w:val="001E12C0"/>
    <w:rsid w:val="001E1678"/>
    <w:rsid w:val="001E3376"/>
    <w:rsid w:val="001E561E"/>
    <w:rsid w:val="001E7192"/>
    <w:rsid w:val="001F3375"/>
    <w:rsid w:val="0020011F"/>
    <w:rsid w:val="002005E3"/>
    <w:rsid w:val="002018CC"/>
    <w:rsid w:val="002021CB"/>
    <w:rsid w:val="002069B3"/>
    <w:rsid w:val="00206B28"/>
    <w:rsid w:val="002070B5"/>
    <w:rsid w:val="00211440"/>
    <w:rsid w:val="00211865"/>
    <w:rsid w:val="00213244"/>
    <w:rsid w:val="00213A89"/>
    <w:rsid w:val="002159FE"/>
    <w:rsid w:val="00215DC1"/>
    <w:rsid w:val="00216D87"/>
    <w:rsid w:val="00221C73"/>
    <w:rsid w:val="00224C93"/>
    <w:rsid w:val="002256CA"/>
    <w:rsid w:val="002329CF"/>
    <w:rsid w:val="00232F5B"/>
    <w:rsid w:val="002345D5"/>
    <w:rsid w:val="002369C8"/>
    <w:rsid w:val="0023761C"/>
    <w:rsid w:val="00244FEC"/>
    <w:rsid w:val="00247C29"/>
    <w:rsid w:val="00251AD9"/>
    <w:rsid w:val="00251ED0"/>
    <w:rsid w:val="00252152"/>
    <w:rsid w:val="002559AF"/>
    <w:rsid w:val="00256350"/>
    <w:rsid w:val="00260467"/>
    <w:rsid w:val="00261C3B"/>
    <w:rsid w:val="00261D35"/>
    <w:rsid w:val="00263478"/>
    <w:rsid w:val="00263EA3"/>
    <w:rsid w:val="00265216"/>
    <w:rsid w:val="00265217"/>
    <w:rsid w:val="00265BB1"/>
    <w:rsid w:val="002665C2"/>
    <w:rsid w:val="002668C9"/>
    <w:rsid w:val="0028004E"/>
    <w:rsid w:val="00280FB8"/>
    <w:rsid w:val="00281FC5"/>
    <w:rsid w:val="00282E07"/>
    <w:rsid w:val="00284BA8"/>
    <w:rsid w:val="00284F85"/>
    <w:rsid w:val="00285D6F"/>
    <w:rsid w:val="002873F1"/>
    <w:rsid w:val="00287FB6"/>
    <w:rsid w:val="00290915"/>
    <w:rsid w:val="002925C6"/>
    <w:rsid w:val="00292C57"/>
    <w:rsid w:val="00294DDB"/>
    <w:rsid w:val="00296AD0"/>
    <w:rsid w:val="002A15EC"/>
    <w:rsid w:val="002A22E2"/>
    <w:rsid w:val="002A52D8"/>
    <w:rsid w:val="002A6922"/>
    <w:rsid w:val="002B0315"/>
    <w:rsid w:val="002B047B"/>
    <w:rsid w:val="002B33AE"/>
    <w:rsid w:val="002B3A96"/>
    <w:rsid w:val="002B55A9"/>
    <w:rsid w:val="002B74C9"/>
    <w:rsid w:val="002B7659"/>
    <w:rsid w:val="002C45FC"/>
    <w:rsid w:val="002C466A"/>
    <w:rsid w:val="002C556E"/>
    <w:rsid w:val="002C64F7"/>
    <w:rsid w:val="002C6653"/>
    <w:rsid w:val="002D049F"/>
    <w:rsid w:val="002D1679"/>
    <w:rsid w:val="002D2AFE"/>
    <w:rsid w:val="002D32B1"/>
    <w:rsid w:val="002D4A0A"/>
    <w:rsid w:val="002E033A"/>
    <w:rsid w:val="002E0A00"/>
    <w:rsid w:val="002E3728"/>
    <w:rsid w:val="002E4F99"/>
    <w:rsid w:val="002E5120"/>
    <w:rsid w:val="002E58B8"/>
    <w:rsid w:val="002E7AE3"/>
    <w:rsid w:val="002F41F2"/>
    <w:rsid w:val="002F5517"/>
    <w:rsid w:val="002F567B"/>
    <w:rsid w:val="00300C5F"/>
    <w:rsid w:val="00300E59"/>
    <w:rsid w:val="00301BF3"/>
    <w:rsid w:val="0030208D"/>
    <w:rsid w:val="003025E1"/>
    <w:rsid w:val="00304AD6"/>
    <w:rsid w:val="003065EF"/>
    <w:rsid w:val="003071F2"/>
    <w:rsid w:val="00307EE2"/>
    <w:rsid w:val="00313F90"/>
    <w:rsid w:val="00314274"/>
    <w:rsid w:val="00316628"/>
    <w:rsid w:val="003209BA"/>
    <w:rsid w:val="00323418"/>
    <w:rsid w:val="00324B36"/>
    <w:rsid w:val="00325939"/>
    <w:rsid w:val="00325E71"/>
    <w:rsid w:val="00326774"/>
    <w:rsid w:val="0033039D"/>
    <w:rsid w:val="00330A1E"/>
    <w:rsid w:val="003321B6"/>
    <w:rsid w:val="003357BF"/>
    <w:rsid w:val="00343A18"/>
    <w:rsid w:val="00360AA3"/>
    <w:rsid w:val="00360CE3"/>
    <w:rsid w:val="00362D48"/>
    <w:rsid w:val="00364FAD"/>
    <w:rsid w:val="0036738F"/>
    <w:rsid w:val="0036759C"/>
    <w:rsid w:val="003676C3"/>
    <w:rsid w:val="00367AE5"/>
    <w:rsid w:val="00367D71"/>
    <w:rsid w:val="0037202D"/>
    <w:rsid w:val="00372C90"/>
    <w:rsid w:val="00376EE5"/>
    <w:rsid w:val="00376F9F"/>
    <w:rsid w:val="0038150A"/>
    <w:rsid w:val="00381C65"/>
    <w:rsid w:val="00390138"/>
    <w:rsid w:val="00395475"/>
    <w:rsid w:val="00395F98"/>
    <w:rsid w:val="0039720B"/>
    <w:rsid w:val="003976F3"/>
    <w:rsid w:val="003A1FE9"/>
    <w:rsid w:val="003A3FE3"/>
    <w:rsid w:val="003A42F5"/>
    <w:rsid w:val="003A54BA"/>
    <w:rsid w:val="003A55C4"/>
    <w:rsid w:val="003A74EF"/>
    <w:rsid w:val="003B0A0D"/>
    <w:rsid w:val="003B4838"/>
    <w:rsid w:val="003B6E75"/>
    <w:rsid w:val="003B7DA1"/>
    <w:rsid w:val="003C00F3"/>
    <w:rsid w:val="003C0757"/>
    <w:rsid w:val="003C12FE"/>
    <w:rsid w:val="003C3080"/>
    <w:rsid w:val="003C4BFF"/>
    <w:rsid w:val="003C619C"/>
    <w:rsid w:val="003C6658"/>
    <w:rsid w:val="003C7DE4"/>
    <w:rsid w:val="003D0379"/>
    <w:rsid w:val="003D2503"/>
    <w:rsid w:val="003D2574"/>
    <w:rsid w:val="003D4C59"/>
    <w:rsid w:val="003D672B"/>
    <w:rsid w:val="003D686A"/>
    <w:rsid w:val="003E0233"/>
    <w:rsid w:val="003E7349"/>
    <w:rsid w:val="003E75E2"/>
    <w:rsid w:val="003F3AEA"/>
    <w:rsid w:val="003F3B2B"/>
    <w:rsid w:val="003F4267"/>
    <w:rsid w:val="003F50F9"/>
    <w:rsid w:val="003F6F7C"/>
    <w:rsid w:val="003F7042"/>
    <w:rsid w:val="00401619"/>
    <w:rsid w:val="00404032"/>
    <w:rsid w:val="00406D7A"/>
    <w:rsid w:val="00406DD2"/>
    <w:rsid w:val="0040736F"/>
    <w:rsid w:val="00407BA5"/>
    <w:rsid w:val="00412C1F"/>
    <w:rsid w:val="00413512"/>
    <w:rsid w:val="0041397C"/>
    <w:rsid w:val="00413DB7"/>
    <w:rsid w:val="00420868"/>
    <w:rsid w:val="00421CB2"/>
    <w:rsid w:val="00424E2E"/>
    <w:rsid w:val="004268B9"/>
    <w:rsid w:val="0042754C"/>
    <w:rsid w:val="004332E4"/>
    <w:rsid w:val="00433B96"/>
    <w:rsid w:val="00434790"/>
    <w:rsid w:val="004363E8"/>
    <w:rsid w:val="004440F1"/>
    <w:rsid w:val="0044415D"/>
    <w:rsid w:val="004455BC"/>
    <w:rsid w:val="004456DD"/>
    <w:rsid w:val="00446085"/>
    <w:rsid w:val="00446CDF"/>
    <w:rsid w:val="00446E08"/>
    <w:rsid w:val="004521B7"/>
    <w:rsid w:val="00452FEE"/>
    <w:rsid w:val="00455A06"/>
    <w:rsid w:val="00455A6A"/>
    <w:rsid w:val="0045613A"/>
    <w:rsid w:val="00457CCE"/>
    <w:rsid w:val="00462AB5"/>
    <w:rsid w:val="0046414D"/>
    <w:rsid w:val="00465EAF"/>
    <w:rsid w:val="00470A86"/>
    <w:rsid w:val="004722D2"/>
    <w:rsid w:val="0047351F"/>
    <w:rsid w:val="004738C5"/>
    <w:rsid w:val="00474C2A"/>
    <w:rsid w:val="00476627"/>
    <w:rsid w:val="00476CDE"/>
    <w:rsid w:val="00491046"/>
    <w:rsid w:val="00491307"/>
    <w:rsid w:val="0049449D"/>
    <w:rsid w:val="004945B4"/>
    <w:rsid w:val="004A2AC7"/>
    <w:rsid w:val="004A3EAE"/>
    <w:rsid w:val="004A6D2F"/>
    <w:rsid w:val="004B23E5"/>
    <w:rsid w:val="004B5708"/>
    <w:rsid w:val="004B6807"/>
    <w:rsid w:val="004B6D7A"/>
    <w:rsid w:val="004C2887"/>
    <w:rsid w:val="004C44FE"/>
    <w:rsid w:val="004C6918"/>
    <w:rsid w:val="004D1B2B"/>
    <w:rsid w:val="004D2626"/>
    <w:rsid w:val="004D30FD"/>
    <w:rsid w:val="004D3A93"/>
    <w:rsid w:val="004D6E26"/>
    <w:rsid w:val="004D77D3"/>
    <w:rsid w:val="004E27A6"/>
    <w:rsid w:val="004E2959"/>
    <w:rsid w:val="004E7EEE"/>
    <w:rsid w:val="004F09E4"/>
    <w:rsid w:val="004F20EF"/>
    <w:rsid w:val="004F260A"/>
    <w:rsid w:val="004F5666"/>
    <w:rsid w:val="004F652C"/>
    <w:rsid w:val="004F7AF1"/>
    <w:rsid w:val="0050321C"/>
    <w:rsid w:val="00507E3B"/>
    <w:rsid w:val="0051315A"/>
    <w:rsid w:val="00515E8A"/>
    <w:rsid w:val="005223AA"/>
    <w:rsid w:val="00522F06"/>
    <w:rsid w:val="00523412"/>
    <w:rsid w:val="00523E35"/>
    <w:rsid w:val="005300D5"/>
    <w:rsid w:val="005305BD"/>
    <w:rsid w:val="00531943"/>
    <w:rsid w:val="00534A13"/>
    <w:rsid w:val="005367B7"/>
    <w:rsid w:val="00536A53"/>
    <w:rsid w:val="00537BD6"/>
    <w:rsid w:val="005422B3"/>
    <w:rsid w:val="0054244F"/>
    <w:rsid w:val="0054712D"/>
    <w:rsid w:val="00547EF6"/>
    <w:rsid w:val="0055120B"/>
    <w:rsid w:val="00554BDE"/>
    <w:rsid w:val="0055522B"/>
    <w:rsid w:val="005570B5"/>
    <w:rsid w:val="005571E3"/>
    <w:rsid w:val="005603CD"/>
    <w:rsid w:val="00566828"/>
    <w:rsid w:val="00567E18"/>
    <w:rsid w:val="00570380"/>
    <w:rsid w:val="0057081B"/>
    <w:rsid w:val="005719CC"/>
    <w:rsid w:val="00572110"/>
    <w:rsid w:val="00575961"/>
    <w:rsid w:val="00575F5F"/>
    <w:rsid w:val="00581805"/>
    <w:rsid w:val="005818C8"/>
    <w:rsid w:val="0058330D"/>
    <w:rsid w:val="00585F76"/>
    <w:rsid w:val="005865ED"/>
    <w:rsid w:val="0059039E"/>
    <w:rsid w:val="00596303"/>
    <w:rsid w:val="005A022D"/>
    <w:rsid w:val="005A34E4"/>
    <w:rsid w:val="005A679D"/>
    <w:rsid w:val="005A7896"/>
    <w:rsid w:val="005B020D"/>
    <w:rsid w:val="005B17F2"/>
    <w:rsid w:val="005B264D"/>
    <w:rsid w:val="005B5285"/>
    <w:rsid w:val="005B55EF"/>
    <w:rsid w:val="005B7FB0"/>
    <w:rsid w:val="005C007E"/>
    <w:rsid w:val="005C35A5"/>
    <w:rsid w:val="005C3FA3"/>
    <w:rsid w:val="005C577C"/>
    <w:rsid w:val="005C5E16"/>
    <w:rsid w:val="005C668C"/>
    <w:rsid w:val="005C7947"/>
    <w:rsid w:val="005D0621"/>
    <w:rsid w:val="005D1E27"/>
    <w:rsid w:val="005D2444"/>
    <w:rsid w:val="005D2A3E"/>
    <w:rsid w:val="005D4972"/>
    <w:rsid w:val="005D5369"/>
    <w:rsid w:val="005D58A0"/>
    <w:rsid w:val="005D76D6"/>
    <w:rsid w:val="005E022E"/>
    <w:rsid w:val="005E0254"/>
    <w:rsid w:val="005E288E"/>
    <w:rsid w:val="005E5215"/>
    <w:rsid w:val="005E64CB"/>
    <w:rsid w:val="005F01A3"/>
    <w:rsid w:val="005F02D7"/>
    <w:rsid w:val="005F7F7E"/>
    <w:rsid w:val="00601AEC"/>
    <w:rsid w:val="00603608"/>
    <w:rsid w:val="00604162"/>
    <w:rsid w:val="00604A65"/>
    <w:rsid w:val="00604B4C"/>
    <w:rsid w:val="006066BA"/>
    <w:rsid w:val="00614693"/>
    <w:rsid w:val="00614D6B"/>
    <w:rsid w:val="006151ED"/>
    <w:rsid w:val="00623C2F"/>
    <w:rsid w:val="00627083"/>
    <w:rsid w:val="00632588"/>
    <w:rsid w:val="00633578"/>
    <w:rsid w:val="00634D35"/>
    <w:rsid w:val="00636769"/>
    <w:rsid w:val="00636A00"/>
    <w:rsid w:val="00637068"/>
    <w:rsid w:val="00637A6A"/>
    <w:rsid w:val="00640B28"/>
    <w:rsid w:val="00642EFF"/>
    <w:rsid w:val="00643ECB"/>
    <w:rsid w:val="0064625F"/>
    <w:rsid w:val="00650642"/>
    <w:rsid w:val="00650811"/>
    <w:rsid w:val="006546AD"/>
    <w:rsid w:val="00657207"/>
    <w:rsid w:val="00661D3E"/>
    <w:rsid w:val="00666094"/>
    <w:rsid w:val="0067025A"/>
    <w:rsid w:val="0067298D"/>
    <w:rsid w:val="00690479"/>
    <w:rsid w:val="00692627"/>
    <w:rsid w:val="006927FE"/>
    <w:rsid w:val="0069664A"/>
    <w:rsid w:val="006969E7"/>
    <w:rsid w:val="0069773D"/>
    <w:rsid w:val="006977C1"/>
    <w:rsid w:val="00697F53"/>
    <w:rsid w:val="006A03DC"/>
    <w:rsid w:val="006A24EB"/>
    <w:rsid w:val="006A3643"/>
    <w:rsid w:val="006A3DC9"/>
    <w:rsid w:val="006A50BD"/>
    <w:rsid w:val="006B06A0"/>
    <w:rsid w:val="006B6ECB"/>
    <w:rsid w:val="006B7532"/>
    <w:rsid w:val="006B79D4"/>
    <w:rsid w:val="006B7C26"/>
    <w:rsid w:val="006B7F04"/>
    <w:rsid w:val="006C1250"/>
    <w:rsid w:val="006C26D6"/>
    <w:rsid w:val="006C2A29"/>
    <w:rsid w:val="006C32F5"/>
    <w:rsid w:val="006C483B"/>
    <w:rsid w:val="006C577F"/>
    <w:rsid w:val="006C64CF"/>
    <w:rsid w:val="006C6AFD"/>
    <w:rsid w:val="006C745D"/>
    <w:rsid w:val="006C78E9"/>
    <w:rsid w:val="006D17B1"/>
    <w:rsid w:val="006D1FD7"/>
    <w:rsid w:val="006D4147"/>
    <w:rsid w:val="006D4339"/>
    <w:rsid w:val="006D4752"/>
    <w:rsid w:val="006D708A"/>
    <w:rsid w:val="006E14C1"/>
    <w:rsid w:val="006E4B8F"/>
    <w:rsid w:val="006F0292"/>
    <w:rsid w:val="006F27FA"/>
    <w:rsid w:val="006F416B"/>
    <w:rsid w:val="006F4D93"/>
    <w:rsid w:val="006F519B"/>
    <w:rsid w:val="006F7CC4"/>
    <w:rsid w:val="006F7FA7"/>
    <w:rsid w:val="00704400"/>
    <w:rsid w:val="0070575B"/>
    <w:rsid w:val="00712C94"/>
    <w:rsid w:val="00713675"/>
    <w:rsid w:val="00715823"/>
    <w:rsid w:val="00723805"/>
    <w:rsid w:val="0073051A"/>
    <w:rsid w:val="0073065E"/>
    <w:rsid w:val="00732BDF"/>
    <w:rsid w:val="007333C3"/>
    <w:rsid w:val="00733922"/>
    <w:rsid w:val="00736955"/>
    <w:rsid w:val="00737B93"/>
    <w:rsid w:val="007415CA"/>
    <w:rsid w:val="00744A70"/>
    <w:rsid w:val="00745BF0"/>
    <w:rsid w:val="00752960"/>
    <w:rsid w:val="00752ADC"/>
    <w:rsid w:val="0075664A"/>
    <w:rsid w:val="007615FE"/>
    <w:rsid w:val="0076287E"/>
    <w:rsid w:val="00762B40"/>
    <w:rsid w:val="0076348D"/>
    <w:rsid w:val="0076655C"/>
    <w:rsid w:val="00770551"/>
    <w:rsid w:val="007714C1"/>
    <w:rsid w:val="00773000"/>
    <w:rsid w:val="007742DC"/>
    <w:rsid w:val="00775283"/>
    <w:rsid w:val="007766F3"/>
    <w:rsid w:val="00780CF7"/>
    <w:rsid w:val="007839B9"/>
    <w:rsid w:val="00784884"/>
    <w:rsid w:val="00785148"/>
    <w:rsid w:val="007907D7"/>
    <w:rsid w:val="00791437"/>
    <w:rsid w:val="0079321F"/>
    <w:rsid w:val="00797AC9"/>
    <w:rsid w:val="007B0C2C"/>
    <w:rsid w:val="007B12FE"/>
    <w:rsid w:val="007B278E"/>
    <w:rsid w:val="007B2B0E"/>
    <w:rsid w:val="007B3359"/>
    <w:rsid w:val="007B4795"/>
    <w:rsid w:val="007B5D06"/>
    <w:rsid w:val="007C023C"/>
    <w:rsid w:val="007C282E"/>
    <w:rsid w:val="007C3CF1"/>
    <w:rsid w:val="007C42D2"/>
    <w:rsid w:val="007C5C23"/>
    <w:rsid w:val="007C6F8A"/>
    <w:rsid w:val="007D0E21"/>
    <w:rsid w:val="007D1829"/>
    <w:rsid w:val="007D6B84"/>
    <w:rsid w:val="007E0F4C"/>
    <w:rsid w:val="007E28E1"/>
    <w:rsid w:val="007E2A26"/>
    <w:rsid w:val="007E48D6"/>
    <w:rsid w:val="007E64F0"/>
    <w:rsid w:val="007E75B1"/>
    <w:rsid w:val="007F0269"/>
    <w:rsid w:val="007F0928"/>
    <w:rsid w:val="007F0A26"/>
    <w:rsid w:val="007F1A42"/>
    <w:rsid w:val="007F1C7F"/>
    <w:rsid w:val="007F2348"/>
    <w:rsid w:val="007F4590"/>
    <w:rsid w:val="0080190A"/>
    <w:rsid w:val="00801D11"/>
    <w:rsid w:val="00802422"/>
    <w:rsid w:val="00803F07"/>
    <w:rsid w:val="00803F1A"/>
    <w:rsid w:val="00804865"/>
    <w:rsid w:val="008050A5"/>
    <w:rsid w:val="008062C7"/>
    <w:rsid w:val="0080749A"/>
    <w:rsid w:val="008074F3"/>
    <w:rsid w:val="008077F8"/>
    <w:rsid w:val="008104AA"/>
    <w:rsid w:val="00817482"/>
    <w:rsid w:val="00820D78"/>
    <w:rsid w:val="00821FB8"/>
    <w:rsid w:val="00822ACD"/>
    <w:rsid w:val="008256E0"/>
    <w:rsid w:val="00834726"/>
    <w:rsid w:val="00834AED"/>
    <w:rsid w:val="00836886"/>
    <w:rsid w:val="00836AE5"/>
    <w:rsid w:val="00837854"/>
    <w:rsid w:val="00840885"/>
    <w:rsid w:val="00843591"/>
    <w:rsid w:val="008437D8"/>
    <w:rsid w:val="008506C4"/>
    <w:rsid w:val="00852FE1"/>
    <w:rsid w:val="008530EB"/>
    <w:rsid w:val="00855C66"/>
    <w:rsid w:val="00857134"/>
    <w:rsid w:val="008575E2"/>
    <w:rsid w:val="0086218C"/>
    <w:rsid w:val="00863602"/>
    <w:rsid w:val="00866DBA"/>
    <w:rsid w:val="00871859"/>
    <w:rsid w:val="00871C32"/>
    <w:rsid w:val="00871EE4"/>
    <w:rsid w:val="00872059"/>
    <w:rsid w:val="00872B70"/>
    <w:rsid w:val="00876831"/>
    <w:rsid w:val="00877963"/>
    <w:rsid w:val="008837D8"/>
    <w:rsid w:val="00883BA7"/>
    <w:rsid w:val="00884F7C"/>
    <w:rsid w:val="00886820"/>
    <w:rsid w:val="00886CF6"/>
    <w:rsid w:val="00886F33"/>
    <w:rsid w:val="0089212D"/>
    <w:rsid w:val="00896DE7"/>
    <w:rsid w:val="008A7B67"/>
    <w:rsid w:val="008B0D2B"/>
    <w:rsid w:val="008B293F"/>
    <w:rsid w:val="008B305E"/>
    <w:rsid w:val="008B6745"/>
    <w:rsid w:val="008B7371"/>
    <w:rsid w:val="008B769E"/>
    <w:rsid w:val="008C0A73"/>
    <w:rsid w:val="008C2114"/>
    <w:rsid w:val="008D0B22"/>
    <w:rsid w:val="008D3180"/>
    <w:rsid w:val="008D3DDB"/>
    <w:rsid w:val="008D3FE6"/>
    <w:rsid w:val="008D5B32"/>
    <w:rsid w:val="008D7BF9"/>
    <w:rsid w:val="008E63DE"/>
    <w:rsid w:val="008F094F"/>
    <w:rsid w:val="008F09F3"/>
    <w:rsid w:val="008F1998"/>
    <w:rsid w:val="008F5168"/>
    <w:rsid w:val="008F5712"/>
    <w:rsid w:val="008F573F"/>
    <w:rsid w:val="008F6E30"/>
    <w:rsid w:val="008F7357"/>
    <w:rsid w:val="009023B2"/>
    <w:rsid w:val="009034EC"/>
    <w:rsid w:val="0090421C"/>
    <w:rsid w:val="00905148"/>
    <w:rsid w:val="00911085"/>
    <w:rsid w:val="009168D9"/>
    <w:rsid w:val="00916C63"/>
    <w:rsid w:val="009208BD"/>
    <w:rsid w:val="009210B1"/>
    <w:rsid w:val="00921926"/>
    <w:rsid w:val="00923390"/>
    <w:rsid w:val="00927B21"/>
    <w:rsid w:val="0093067A"/>
    <w:rsid w:val="009306BD"/>
    <w:rsid w:val="00930C84"/>
    <w:rsid w:val="00934C3F"/>
    <w:rsid w:val="00934D30"/>
    <w:rsid w:val="00934E6B"/>
    <w:rsid w:val="009367F2"/>
    <w:rsid w:val="009370F6"/>
    <w:rsid w:val="009372F1"/>
    <w:rsid w:val="00941C60"/>
    <w:rsid w:val="00944F46"/>
    <w:rsid w:val="009459D9"/>
    <w:rsid w:val="00946452"/>
    <w:rsid w:val="009477B5"/>
    <w:rsid w:val="00952FBA"/>
    <w:rsid w:val="009559D8"/>
    <w:rsid w:val="00956A47"/>
    <w:rsid w:val="00957365"/>
    <w:rsid w:val="00960799"/>
    <w:rsid w:val="00964041"/>
    <w:rsid w:val="00964187"/>
    <w:rsid w:val="00966D42"/>
    <w:rsid w:val="00970A75"/>
    <w:rsid w:val="00971689"/>
    <w:rsid w:val="00973C05"/>
    <w:rsid w:val="00973E90"/>
    <w:rsid w:val="00975B07"/>
    <w:rsid w:val="00976BCD"/>
    <w:rsid w:val="00977766"/>
    <w:rsid w:val="00980B4A"/>
    <w:rsid w:val="009821E2"/>
    <w:rsid w:val="0099724D"/>
    <w:rsid w:val="009A34AD"/>
    <w:rsid w:val="009B0200"/>
    <w:rsid w:val="009B0344"/>
    <w:rsid w:val="009B11F3"/>
    <w:rsid w:val="009B19BD"/>
    <w:rsid w:val="009B381B"/>
    <w:rsid w:val="009B4BFF"/>
    <w:rsid w:val="009B6D80"/>
    <w:rsid w:val="009B708C"/>
    <w:rsid w:val="009C0CE9"/>
    <w:rsid w:val="009C177B"/>
    <w:rsid w:val="009C59A8"/>
    <w:rsid w:val="009C59F4"/>
    <w:rsid w:val="009D534C"/>
    <w:rsid w:val="009E0AA3"/>
    <w:rsid w:val="009E29FD"/>
    <w:rsid w:val="009E3D0A"/>
    <w:rsid w:val="009E4858"/>
    <w:rsid w:val="009E51FC"/>
    <w:rsid w:val="009E763E"/>
    <w:rsid w:val="009F1D28"/>
    <w:rsid w:val="009F3585"/>
    <w:rsid w:val="009F6EEC"/>
    <w:rsid w:val="009F7618"/>
    <w:rsid w:val="00A0396D"/>
    <w:rsid w:val="00A04CDB"/>
    <w:rsid w:val="00A04D23"/>
    <w:rsid w:val="00A06766"/>
    <w:rsid w:val="00A11423"/>
    <w:rsid w:val="00A11896"/>
    <w:rsid w:val="00A12649"/>
    <w:rsid w:val="00A13765"/>
    <w:rsid w:val="00A17470"/>
    <w:rsid w:val="00A21278"/>
    <w:rsid w:val="00A21B12"/>
    <w:rsid w:val="00A22708"/>
    <w:rsid w:val="00A23CB8"/>
    <w:rsid w:val="00A23F80"/>
    <w:rsid w:val="00A27624"/>
    <w:rsid w:val="00A31C7F"/>
    <w:rsid w:val="00A35FDB"/>
    <w:rsid w:val="00A36624"/>
    <w:rsid w:val="00A3669C"/>
    <w:rsid w:val="00A40EFD"/>
    <w:rsid w:val="00A4165B"/>
    <w:rsid w:val="00A46404"/>
    <w:rsid w:val="00A46CDF"/>
    <w:rsid w:val="00A46CED"/>
    <w:rsid w:val="00A46E98"/>
    <w:rsid w:val="00A46FE0"/>
    <w:rsid w:val="00A50727"/>
    <w:rsid w:val="00A51D23"/>
    <w:rsid w:val="00A54385"/>
    <w:rsid w:val="00A56717"/>
    <w:rsid w:val="00A5751F"/>
    <w:rsid w:val="00A61ECA"/>
    <w:rsid w:val="00A6352B"/>
    <w:rsid w:val="00A65A22"/>
    <w:rsid w:val="00A666B3"/>
    <w:rsid w:val="00A67BC1"/>
    <w:rsid w:val="00A701B5"/>
    <w:rsid w:val="00A70EFC"/>
    <w:rsid w:val="00A714BB"/>
    <w:rsid w:val="00A728FE"/>
    <w:rsid w:val="00A7477D"/>
    <w:rsid w:val="00A7567B"/>
    <w:rsid w:val="00A77659"/>
    <w:rsid w:val="00A81280"/>
    <w:rsid w:val="00A82AF9"/>
    <w:rsid w:val="00A85B0E"/>
    <w:rsid w:val="00A90B00"/>
    <w:rsid w:val="00A91B9B"/>
    <w:rsid w:val="00A9244B"/>
    <w:rsid w:val="00A92D8F"/>
    <w:rsid w:val="00A93767"/>
    <w:rsid w:val="00A94C30"/>
    <w:rsid w:val="00AA09B6"/>
    <w:rsid w:val="00AA5D03"/>
    <w:rsid w:val="00AB24EA"/>
    <w:rsid w:val="00AB2988"/>
    <w:rsid w:val="00AB62F0"/>
    <w:rsid w:val="00AB6B54"/>
    <w:rsid w:val="00AB7999"/>
    <w:rsid w:val="00AC1715"/>
    <w:rsid w:val="00AC4174"/>
    <w:rsid w:val="00AC659B"/>
    <w:rsid w:val="00AD186F"/>
    <w:rsid w:val="00AD204C"/>
    <w:rsid w:val="00AD3292"/>
    <w:rsid w:val="00AD74C1"/>
    <w:rsid w:val="00AE7AF0"/>
    <w:rsid w:val="00AE7BB8"/>
    <w:rsid w:val="00AF300F"/>
    <w:rsid w:val="00AF386F"/>
    <w:rsid w:val="00AF7460"/>
    <w:rsid w:val="00AF7E6D"/>
    <w:rsid w:val="00B01E78"/>
    <w:rsid w:val="00B02C0B"/>
    <w:rsid w:val="00B04099"/>
    <w:rsid w:val="00B11B9B"/>
    <w:rsid w:val="00B123AC"/>
    <w:rsid w:val="00B12DC2"/>
    <w:rsid w:val="00B17804"/>
    <w:rsid w:val="00B2061D"/>
    <w:rsid w:val="00B22FEE"/>
    <w:rsid w:val="00B32485"/>
    <w:rsid w:val="00B32995"/>
    <w:rsid w:val="00B356DD"/>
    <w:rsid w:val="00B36454"/>
    <w:rsid w:val="00B40416"/>
    <w:rsid w:val="00B43003"/>
    <w:rsid w:val="00B43A09"/>
    <w:rsid w:val="00B44E1B"/>
    <w:rsid w:val="00B45680"/>
    <w:rsid w:val="00B46930"/>
    <w:rsid w:val="00B500CA"/>
    <w:rsid w:val="00B537C2"/>
    <w:rsid w:val="00B53FB6"/>
    <w:rsid w:val="00B61C6A"/>
    <w:rsid w:val="00B6503D"/>
    <w:rsid w:val="00B71CA0"/>
    <w:rsid w:val="00B74923"/>
    <w:rsid w:val="00B76175"/>
    <w:rsid w:val="00B8084E"/>
    <w:rsid w:val="00B80C36"/>
    <w:rsid w:val="00B84D7D"/>
    <w:rsid w:val="00B86314"/>
    <w:rsid w:val="00B87386"/>
    <w:rsid w:val="00B92AA5"/>
    <w:rsid w:val="00B93514"/>
    <w:rsid w:val="00B94D18"/>
    <w:rsid w:val="00B968EC"/>
    <w:rsid w:val="00BA1C2E"/>
    <w:rsid w:val="00BA6A54"/>
    <w:rsid w:val="00BB12F0"/>
    <w:rsid w:val="00BB318F"/>
    <w:rsid w:val="00BB420C"/>
    <w:rsid w:val="00BB6A43"/>
    <w:rsid w:val="00BB74FC"/>
    <w:rsid w:val="00BC200B"/>
    <w:rsid w:val="00BC254C"/>
    <w:rsid w:val="00BC4756"/>
    <w:rsid w:val="00BC54ED"/>
    <w:rsid w:val="00BC69A4"/>
    <w:rsid w:val="00BC73EE"/>
    <w:rsid w:val="00BC7571"/>
    <w:rsid w:val="00BD3B6D"/>
    <w:rsid w:val="00BD5867"/>
    <w:rsid w:val="00BE0680"/>
    <w:rsid w:val="00BE305F"/>
    <w:rsid w:val="00BE5A97"/>
    <w:rsid w:val="00BE7BA3"/>
    <w:rsid w:val="00BF2AF4"/>
    <w:rsid w:val="00BF4EE9"/>
    <w:rsid w:val="00BF5682"/>
    <w:rsid w:val="00BF7B09"/>
    <w:rsid w:val="00C00652"/>
    <w:rsid w:val="00C00F7E"/>
    <w:rsid w:val="00C0425E"/>
    <w:rsid w:val="00C0509E"/>
    <w:rsid w:val="00C11950"/>
    <w:rsid w:val="00C13033"/>
    <w:rsid w:val="00C20A95"/>
    <w:rsid w:val="00C23F79"/>
    <w:rsid w:val="00C25AD8"/>
    <w:rsid w:val="00C2674F"/>
    <w:rsid w:val="00C2692F"/>
    <w:rsid w:val="00C3207C"/>
    <w:rsid w:val="00C32898"/>
    <w:rsid w:val="00C32BB4"/>
    <w:rsid w:val="00C34670"/>
    <w:rsid w:val="00C34ACE"/>
    <w:rsid w:val="00C377A0"/>
    <w:rsid w:val="00C400E1"/>
    <w:rsid w:val="00C4015E"/>
    <w:rsid w:val="00C41187"/>
    <w:rsid w:val="00C41ADA"/>
    <w:rsid w:val="00C44D88"/>
    <w:rsid w:val="00C506C5"/>
    <w:rsid w:val="00C512A1"/>
    <w:rsid w:val="00C52127"/>
    <w:rsid w:val="00C52D3D"/>
    <w:rsid w:val="00C60772"/>
    <w:rsid w:val="00C6078C"/>
    <w:rsid w:val="00C63C31"/>
    <w:rsid w:val="00C73206"/>
    <w:rsid w:val="00C733A4"/>
    <w:rsid w:val="00C757A0"/>
    <w:rsid w:val="00C757BB"/>
    <w:rsid w:val="00C760DE"/>
    <w:rsid w:val="00C80AFB"/>
    <w:rsid w:val="00C80E03"/>
    <w:rsid w:val="00C82630"/>
    <w:rsid w:val="00C845F5"/>
    <w:rsid w:val="00C84C29"/>
    <w:rsid w:val="00C85750"/>
    <w:rsid w:val="00C85B4E"/>
    <w:rsid w:val="00C8750C"/>
    <w:rsid w:val="00C907F7"/>
    <w:rsid w:val="00C92C66"/>
    <w:rsid w:val="00C92CB1"/>
    <w:rsid w:val="00C94EE4"/>
    <w:rsid w:val="00C96C7F"/>
    <w:rsid w:val="00CA0195"/>
    <w:rsid w:val="00CA0771"/>
    <w:rsid w:val="00CA2103"/>
    <w:rsid w:val="00CA2737"/>
    <w:rsid w:val="00CA32BE"/>
    <w:rsid w:val="00CB1229"/>
    <w:rsid w:val="00CB3D91"/>
    <w:rsid w:val="00CB6B99"/>
    <w:rsid w:val="00CC0A43"/>
    <w:rsid w:val="00CC0CCD"/>
    <w:rsid w:val="00CC2459"/>
    <w:rsid w:val="00CC407B"/>
    <w:rsid w:val="00CC59C6"/>
    <w:rsid w:val="00CD211A"/>
    <w:rsid w:val="00CD6231"/>
    <w:rsid w:val="00CD6F77"/>
    <w:rsid w:val="00CE22BA"/>
    <w:rsid w:val="00CE4C87"/>
    <w:rsid w:val="00CE544A"/>
    <w:rsid w:val="00CE6D84"/>
    <w:rsid w:val="00CF58EC"/>
    <w:rsid w:val="00CF795B"/>
    <w:rsid w:val="00D04C25"/>
    <w:rsid w:val="00D06841"/>
    <w:rsid w:val="00D0745E"/>
    <w:rsid w:val="00D1108C"/>
    <w:rsid w:val="00D11E1C"/>
    <w:rsid w:val="00D12262"/>
    <w:rsid w:val="00D122CB"/>
    <w:rsid w:val="00D160B0"/>
    <w:rsid w:val="00D16593"/>
    <w:rsid w:val="00D17F94"/>
    <w:rsid w:val="00D21C23"/>
    <w:rsid w:val="00D223FC"/>
    <w:rsid w:val="00D22960"/>
    <w:rsid w:val="00D241FF"/>
    <w:rsid w:val="00D24FF1"/>
    <w:rsid w:val="00D25A03"/>
    <w:rsid w:val="00D26D1E"/>
    <w:rsid w:val="00D32046"/>
    <w:rsid w:val="00D36B34"/>
    <w:rsid w:val="00D4040D"/>
    <w:rsid w:val="00D41A9C"/>
    <w:rsid w:val="00D43CE9"/>
    <w:rsid w:val="00D44685"/>
    <w:rsid w:val="00D459ED"/>
    <w:rsid w:val="00D45E2B"/>
    <w:rsid w:val="00D474CF"/>
    <w:rsid w:val="00D51A4D"/>
    <w:rsid w:val="00D5547E"/>
    <w:rsid w:val="00D560C3"/>
    <w:rsid w:val="00D56E95"/>
    <w:rsid w:val="00D6078B"/>
    <w:rsid w:val="00D612B7"/>
    <w:rsid w:val="00D628B9"/>
    <w:rsid w:val="00D64A02"/>
    <w:rsid w:val="00D71DDE"/>
    <w:rsid w:val="00D7667D"/>
    <w:rsid w:val="00D76AA5"/>
    <w:rsid w:val="00D817BF"/>
    <w:rsid w:val="00D819B3"/>
    <w:rsid w:val="00D869A1"/>
    <w:rsid w:val="00D9004B"/>
    <w:rsid w:val="00D905C7"/>
    <w:rsid w:val="00D9110B"/>
    <w:rsid w:val="00D92900"/>
    <w:rsid w:val="00D97EBB"/>
    <w:rsid w:val="00DA413F"/>
    <w:rsid w:val="00DA4584"/>
    <w:rsid w:val="00DA614B"/>
    <w:rsid w:val="00DA6824"/>
    <w:rsid w:val="00DA69D6"/>
    <w:rsid w:val="00DA7330"/>
    <w:rsid w:val="00DB0200"/>
    <w:rsid w:val="00DB0D1F"/>
    <w:rsid w:val="00DB40A3"/>
    <w:rsid w:val="00DB5E73"/>
    <w:rsid w:val="00DC1F43"/>
    <w:rsid w:val="00DC3060"/>
    <w:rsid w:val="00DC6310"/>
    <w:rsid w:val="00DC6E9B"/>
    <w:rsid w:val="00DD11BA"/>
    <w:rsid w:val="00DD2B83"/>
    <w:rsid w:val="00DD54A8"/>
    <w:rsid w:val="00DD5B6E"/>
    <w:rsid w:val="00DE041F"/>
    <w:rsid w:val="00DE0FB2"/>
    <w:rsid w:val="00DE2129"/>
    <w:rsid w:val="00DE2F66"/>
    <w:rsid w:val="00DE64FC"/>
    <w:rsid w:val="00DE77AE"/>
    <w:rsid w:val="00DF093E"/>
    <w:rsid w:val="00DF2F9B"/>
    <w:rsid w:val="00DF32F0"/>
    <w:rsid w:val="00DF52FA"/>
    <w:rsid w:val="00DF7086"/>
    <w:rsid w:val="00E001B2"/>
    <w:rsid w:val="00E01311"/>
    <w:rsid w:val="00E01F42"/>
    <w:rsid w:val="00E06D4C"/>
    <w:rsid w:val="00E06F6C"/>
    <w:rsid w:val="00E07095"/>
    <w:rsid w:val="00E12EF9"/>
    <w:rsid w:val="00E12F97"/>
    <w:rsid w:val="00E141C6"/>
    <w:rsid w:val="00E155EB"/>
    <w:rsid w:val="00E157FF"/>
    <w:rsid w:val="00E206D6"/>
    <w:rsid w:val="00E26741"/>
    <w:rsid w:val="00E270C4"/>
    <w:rsid w:val="00E3160F"/>
    <w:rsid w:val="00E3307B"/>
    <w:rsid w:val="00E3366E"/>
    <w:rsid w:val="00E3407B"/>
    <w:rsid w:val="00E35E8D"/>
    <w:rsid w:val="00E421C6"/>
    <w:rsid w:val="00E52086"/>
    <w:rsid w:val="00E543A6"/>
    <w:rsid w:val="00E54487"/>
    <w:rsid w:val="00E54D43"/>
    <w:rsid w:val="00E576E2"/>
    <w:rsid w:val="00E6010D"/>
    <w:rsid w:val="00E60479"/>
    <w:rsid w:val="00E605C7"/>
    <w:rsid w:val="00E61D73"/>
    <w:rsid w:val="00E65098"/>
    <w:rsid w:val="00E65C13"/>
    <w:rsid w:val="00E66076"/>
    <w:rsid w:val="00E71D56"/>
    <w:rsid w:val="00E72133"/>
    <w:rsid w:val="00E73684"/>
    <w:rsid w:val="00E818D6"/>
    <w:rsid w:val="00E854A0"/>
    <w:rsid w:val="00E87F7A"/>
    <w:rsid w:val="00E93B26"/>
    <w:rsid w:val="00E96BD7"/>
    <w:rsid w:val="00EA0DB1"/>
    <w:rsid w:val="00EA0EE9"/>
    <w:rsid w:val="00EA4150"/>
    <w:rsid w:val="00EA41DD"/>
    <w:rsid w:val="00EA5469"/>
    <w:rsid w:val="00EA78BE"/>
    <w:rsid w:val="00EA7FF7"/>
    <w:rsid w:val="00EB0341"/>
    <w:rsid w:val="00EB1C1E"/>
    <w:rsid w:val="00EB2915"/>
    <w:rsid w:val="00EB5BD4"/>
    <w:rsid w:val="00EC1411"/>
    <w:rsid w:val="00EC2343"/>
    <w:rsid w:val="00EC7FEC"/>
    <w:rsid w:val="00ED0C64"/>
    <w:rsid w:val="00ED108A"/>
    <w:rsid w:val="00ED1562"/>
    <w:rsid w:val="00ED52CA"/>
    <w:rsid w:val="00ED5860"/>
    <w:rsid w:val="00ED6EBD"/>
    <w:rsid w:val="00EE1B74"/>
    <w:rsid w:val="00EE35C9"/>
    <w:rsid w:val="00EF1CB7"/>
    <w:rsid w:val="00F05959"/>
    <w:rsid w:val="00F05ECA"/>
    <w:rsid w:val="00F064F3"/>
    <w:rsid w:val="00F07780"/>
    <w:rsid w:val="00F14A3B"/>
    <w:rsid w:val="00F16234"/>
    <w:rsid w:val="00F1786A"/>
    <w:rsid w:val="00F2075E"/>
    <w:rsid w:val="00F24043"/>
    <w:rsid w:val="00F241B0"/>
    <w:rsid w:val="00F24E9E"/>
    <w:rsid w:val="00F27E68"/>
    <w:rsid w:val="00F30D07"/>
    <w:rsid w:val="00F31660"/>
    <w:rsid w:val="00F3566E"/>
    <w:rsid w:val="00F375FB"/>
    <w:rsid w:val="00F41AC1"/>
    <w:rsid w:val="00F428FA"/>
    <w:rsid w:val="00F431BC"/>
    <w:rsid w:val="00F4367A"/>
    <w:rsid w:val="00F44049"/>
    <w:rsid w:val="00F445B1"/>
    <w:rsid w:val="00F44B49"/>
    <w:rsid w:val="00F4581C"/>
    <w:rsid w:val="00F45CD4"/>
    <w:rsid w:val="00F50D59"/>
    <w:rsid w:val="00F52AB6"/>
    <w:rsid w:val="00F52DDC"/>
    <w:rsid w:val="00F52E15"/>
    <w:rsid w:val="00F5632A"/>
    <w:rsid w:val="00F57A81"/>
    <w:rsid w:val="00F57C46"/>
    <w:rsid w:val="00F61106"/>
    <w:rsid w:val="00F66812"/>
    <w:rsid w:val="00F66DCA"/>
    <w:rsid w:val="00F71B0E"/>
    <w:rsid w:val="00F74F53"/>
    <w:rsid w:val="00F75549"/>
    <w:rsid w:val="00F7606D"/>
    <w:rsid w:val="00F76CE1"/>
    <w:rsid w:val="00F81670"/>
    <w:rsid w:val="00F81F92"/>
    <w:rsid w:val="00F82024"/>
    <w:rsid w:val="00F82D52"/>
    <w:rsid w:val="00F8741C"/>
    <w:rsid w:val="00F90A12"/>
    <w:rsid w:val="00F95BC9"/>
    <w:rsid w:val="00F96A87"/>
    <w:rsid w:val="00F97C01"/>
    <w:rsid w:val="00FA10A6"/>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4134"/>
    <w:rsid w:val="00FD4966"/>
    <w:rsid w:val="00FE07FD"/>
    <w:rsid w:val="00FE1E6D"/>
    <w:rsid w:val="00FE35F3"/>
    <w:rsid w:val="00FE36F7"/>
    <w:rsid w:val="00FE3A39"/>
    <w:rsid w:val="00FE57DC"/>
    <w:rsid w:val="00FE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C1BB80"/>
  <w15:docId w15:val="{D06070B8-134D-4A81-A665-1B65559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1C39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1073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095203759">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4813-976C-495B-BF44-D9B24E81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8ACAD4C7</Template>
  <TotalTime>23</TotalTime>
  <Pages>9</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HUDSON Tom</cp:lastModifiedBy>
  <cp:revision>6</cp:revision>
  <cp:lastPrinted>2017-08-07T08:36:00Z</cp:lastPrinted>
  <dcterms:created xsi:type="dcterms:W3CDTF">2020-11-16T12:16:00Z</dcterms:created>
  <dcterms:modified xsi:type="dcterms:W3CDTF">2020-11-25T09:56:00Z</dcterms:modified>
</cp:coreProperties>
</file>